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4D2D16" w14:textId="4F73D107" w:rsidR="00916457" w:rsidRPr="00F42F71" w:rsidRDefault="00916457" w:rsidP="00F42F71">
      <w:pPr>
        <w:spacing w:after="0" w:line="240" w:lineRule="auto"/>
        <w:jc w:val="both"/>
        <w:rPr>
          <w:b/>
          <w:bCs/>
          <w:sz w:val="48"/>
          <w:szCs w:val="48"/>
        </w:rPr>
      </w:pPr>
      <w:r w:rsidRPr="00F42F71">
        <w:rPr>
          <w:b/>
          <w:bCs/>
          <w:sz w:val="48"/>
          <w:szCs w:val="48"/>
        </w:rPr>
        <w:t>Reto de ciudad 3: Ciudad Aeroportuaria</w:t>
      </w:r>
    </w:p>
    <w:p w14:paraId="6099CE01" w14:textId="7CC9D633" w:rsidR="00054549" w:rsidRPr="00CF7DD9" w:rsidRDefault="00916457" w:rsidP="00F42F71">
      <w:pPr>
        <w:jc w:val="both"/>
        <w:rPr>
          <w:b/>
          <w:bCs/>
          <w:sz w:val="32"/>
          <w:szCs w:val="32"/>
        </w:rPr>
      </w:pPr>
      <w:r w:rsidRPr="00F42F71">
        <w:rPr>
          <w:b/>
          <w:bCs/>
          <w:sz w:val="32"/>
          <w:szCs w:val="32"/>
        </w:rPr>
        <w:t>Análisis de datos – Sesión grupal No. 1</w:t>
      </w:r>
    </w:p>
    <w:p w14:paraId="1663E20D" w14:textId="6AE7BC11" w:rsidR="003B1D71" w:rsidRPr="00485404" w:rsidRDefault="00485404" w:rsidP="00F42F71">
      <w:pPr>
        <w:jc w:val="both"/>
        <w:rPr>
          <w:rFonts w:ascii="Dosis" w:hAnsi="Dosis"/>
          <w:sz w:val="22"/>
          <w:szCs w:val="22"/>
          <w:lang w:eastAsia="es-MX"/>
        </w:rPr>
      </w:pPr>
      <w:r w:rsidRPr="00485404">
        <w:rPr>
          <w:rFonts w:ascii="Dosis" w:hAnsi="Dosis"/>
          <w:sz w:val="22"/>
          <w:szCs w:val="22"/>
          <w:lang w:eastAsia="es-MX"/>
        </w:rPr>
        <w:t>Este documento presenta un análisis cualitativo de los resultados del cuestionario aplicado a moradores–propietarios del sector Puerta de Teja (Fontibón), en el marco de la Etapa 0 del Reto de ciudad 3 – Ciudad Aeroportuaria. El levantamiento de información se realizó durante una sesión colectiva con moradores, que combinó trabajo grupal (conversación guiada sobre entorno, miedos, expectativas y condiciones mínimas de asociatividad) y un momento individual de diligenciamiento del cuestionario. De acuerdo con la metodología definida para las sesiones con moradores–propietarios, esta sesión buscó captar, de forma simultánea, percepciones subjetivas, condiciones socioeconómicas básicas y disposición frente a escenarios de reconversión y asociación, con el propósito de alimentar el diseño de la herramienta de simulación y las reglas de negocio del programa Bogotá Ciudad Aeropuerto.</w:t>
      </w:r>
    </w:p>
    <w:p w14:paraId="3F4BCA67" w14:textId="0973B9AD" w:rsidR="003B1D71" w:rsidRPr="00485404" w:rsidRDefault="00485404" w:rsidP="00F42F71">
      <w:pPr>
        <w:jc w:val="both"/>
        <w:rPr>
          <w:rFonts w:ascii="Dosis" w:hAnsi="Dosis"/>
          <w:sz w:val="22"/>
          <w:szCs w:val="22"/>
          <w:lang w:eastAsia="es-MX"/>
        </w:rPr>
      </w:pPr>
      <w:r w:rsidRPr="00485404">
        <w:rPr>
          <w:rFonts w:ascii="Dosis" w:hAnsi="Dosis"/>
          <w:sz w:val="22"/>
          <w:szCs w:val="22"/>
          <w:lang w:eastAsia="es-MX"/>
        </w:rPr>
        <w:t>Es importante subrayar que los resultados corresponden a una primera sesión en Puerta de Teja, realizada en la ventana operativa prevista para finales de noviembre y comienzos de diciembre de 2025, y que deben leerse como un insumo inicial. El cruce detallado con otras fuentes (actas de sesión, mapas trabajados en grupo, bases de datos consolidadas de cuestionarios y, en etapas posteriores, entrevistas a empresas) permitirá profundizar en los hallazgos, afinar hipótesis y corregir posibles sesgos derivados del tamaño de la muestra, del tiempo disponible para diligenciar el instrumento o de la comprensión de algunas preguntas por parte de los participantes.</w:t>
      </w:r>
    </w:p>
    <w:p w14:paraId="3C48BA35" w14:textId="77777777" w:rsidR="00485404" w:rsidRPr="00485404" w:rsidRDefault="00485404" w:rsidP="00F42F71">
      <w:pPr>
        <w:jc w:val="both"/>
        <w:rPr>
          <w:rFonts w:ascii="Dosis" w:hAnsi="Dosis"/>
          <w:b/>
          <w:bCs/>
          <w:sz w:val="22"/>
          <w:szCs w:val="22"/>
          <w:lang w:eastAsia="es-MX"/>
        </w:rPr>
      </w:pPr>
      <w:r w:rsidRPr="00485404">
        <w:rPr>
          <w:rFonts w:ascii="Dosis" w:hAnsi="Dosis"/>
          <w:b/>
          <w:bCs/>
          <w:sz w:val="22"/>
          <w:szCs w:val="22"/>
          <w:lang w:eastAsia="es-MX"/>
        </w:rPr>
        <w:t>Perfil de los participantes y relevancia de la caracterización</w:t>
      </w:r>
    </w:p>
    <w:p w14:paraId="4D1C5453" w14:textId="77777777" w:rsidR="00485404" w:rsidRPr="00485404" w:rsidRDefault="00485404" w:rsidP="00F42F71">
      <w:pPr>
        <w:jc w:val="both"/>
        <w:rPr>
          <w:rFonts w:ascii="Dosis" w:hAnsi="Dosis"/>
          <w:sz w:val="22"/>
          <w:szCs w:val="22"/>
          <w:lang w:eastAsia="es-MX"/>
        </w:rPr>
      </w:pPr>
      <w:r w:rsidRPr="00485404">
        <w:rPr>
          <w:rFonts w:ascii="Dosis" w:hAnsi="Dosis"/>
          <w:sz w:val="22"/>
          <w:szCs w:val="22"/>
          <w:lang w:eastAsia="es-MX"/>
        </w:rPr>
        <w:t>El cuestionario se aplicó a un grupo de moradores del sector que, en su mayoría, se reconocen como propietarios del predio que habitan, aunque también se registra al menos una persona en condición de arrendataria. Más que identidades fijas, estas categorías describen la posición actual de los hogares frente al suelo y a su vivienda: quienes hoy son propietarios han construido, a lo largo del tiempo, una relación estrecha entre su proyecto familiar y el patrimonio inmobiliario, mientras que quienes arriendan viven una relación más incierta con el territorio, mediada por contratos de alquiler y por decisiones de terceros. Este matiz es relevante para la gestión del cambio, porque las decisiones sobre venta, asociación o transformación del uso del suelo no se perciben como ajustes menores, sino como decisiones que inciden de manera directa en el proyecto de vida de las familias.</w:t>
      </w:r>
    </w:p>
    <w:p w14:paraId="3CDC9E0A" w14:textId="110E96B7" w:rsidR="00916457" w:rsidRDefault="00916457" w:rsidP="00426329">
      <w:pPr>
        <w:jc w:val="center"/>
        <w:rPr>
          <w:rFonts w:ascii="Dosis" w:hAnsi="Dosis"/>
          <w:sz w:val="22"/>
          <w:szCs w:val="22"/>
          <w:lang w:eastAsia="es-MX"/>
        </w:rPr>
      </w:pPr>
      <w:r w:rsidRPr="00F42F71">
        <w:rPr>
          <w:noProof/>
        </w:rPr>
        <w:lastRenderedPageBreak/>
        <w:drawing>
          <wp:inline distT="0" distB="0" distL="0" distR="0" wp14:anchorId="77B89F87" wp14:editId="1B19CD3B">
            <wp:extent cx="4125497" cy="1925662"/>
            <wp:effectExtent l="0" t="0" r="15240" b="17780"/>
            <wp:docPr id="843991307" name="Gráfico 1">
              <a:extLst xmlns:a="http://schemas.openxmlformats.org/drawingml/2006/main">
                <a:ext uri="{FF2B5EF4-FFF2-40B4-BE49-F238E27FC236}">
                  <a16:creationId xmlns:a16="http://schemas.microsoft.com/office/drawing/2014/main" id="{A96680AA-9043-0446-9B54-C68D3FC83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6154FE0" w14:textId="77777777" w:rsidR="00426329" w:rsidRPr="000952A0" w:rsidRDefault="00426329" w:rsidP="00426329">
      <w:pPr>
        <w:jc w:val="both"/>
        <w:rPr>
          <w:rFonts w:ascii="Dosis" w:hAnsi="Dosis"/>
          <w:sz w:val="22"/>
          <w:szCs w:val="22"/>
          <w:lang w:eastAsia="es-MX"/>
        </w:rPr>
      </w:pPr>
      <w:r w:rsidRPr="000952A0">
        <w:rPr>
          <w:rFonts w:ascii="Dosis" w:hAnsi="Dosis"/>
          <w:sz w:val="22"/>
          <w:szCs w:val="22"/>
          <w:lang w:eastAsia="es-MX"/>
        </w:rPr>
        <w:t xml:space="preserve">Por otra parte, </w:t>
      </w:r>
      <w:r w:rsidRPr="000952A0">
        <w:rPr>
          <w:rFonts w:ascii="Dosis" w:hAnsi="Dosis"/>
          <w:sz w:val="22"/>
          <w:szCs w:val="22"/>
          <w:lang w:eastAsia="es-MX"/>
        </w:rPr>
        <w:t>la localización precisa de los predios dentro de la ZIDA y en relación con las principales vías, corredores de carga y zonas de influencia inmediata del aeropuerto es un factor que probablemente condiciona las percepciones y las respuestas. Un siguiente paso analítico recomendado es georreferenciar a las personas que respondieron el cuestionario —por barrio, cuadrante o tramo de vía— y explorar hasta qué punto la intensidad de los impactos (ruido, tráfico, contaminación) y el grado de exposición al mercado inmobiliario se concentran en ciertos sectores del territorio. Esta georreferenciación también ayudaría a identificar áreas donde el mercado ya está muy activo y otras donde aún no ha llegado con la misma fuerza, lo que tiene implicaciones directas para la priorización de intervenciones y para el diseño de pilotos de asociatividad.</w:t>
      </w:r>
    </w:p>
    <w:p w14:paraId="7721A522" w14:textId="440E1FE6" w:rsidR="00426329" w:rsidRDefault="008747C1" w:rsidP="00426329">
      <w:pPr>
        <w:jc w:val="both"/>
        <w:rPr>
          <w:rFonts w:ascii="Dosis" w:hAnsi="Dosis"/>
          <w:i/>
          <w:iCs/>
          <w:sz w:val="22"/>
          <w:szCs w:val="22"/>
          <w:u w:val="single"/>
          <w:lang w:eastAsia="es-MX"/>
        </w:rPr>
      </w:pPr>
      <w:r w:rsidRPr="008747C1">
        <w:rPr>
          <w:rFonts w:ascii="Dosis" w:hAnsi="Dosis"/>
          <w:i/>
          <w:iCs/>
          <w:sz w:val="22"/>
          <w:szCs w:val="22"/>
          <w:u w:val="single"/>
          <w:lang w:eastAsia="es-MX"/>
        </w:rPr>
        <w:t>Lectura espacial de las respuestas</w:t>
      </w:r>
      <w:r w:rsidRPr="008747C1">
        <w:rPr>
          <w:rFonts w:ascii="Dosis" w:hAnsi="Dosis"/>
          <w:i/>
          <w:iCs/>
          <w:sz w:val="22"/>
          <w:szCs w:val="22"/>
          <w:u w:val="single"/>
          <w:lang w:eastAsia="es-MX"/>
        </w:rPr>
        <w:t>:</w:t>
      </w:r>
    </w:p>
    <w:p w14:paraId="7B8DECDD" w14:textId="32418044" w:rsidR="008747C1" w:rsidRDefault="008747C1" w:rsidP="00CF7DD9">
      <w:pPr>
        <w:rPr>
          <w:rFonts w:ascii="Dosis" w:hAnsi="Dosis"/>
          <w:sz w:val="22"/>
          <w:szCs w:val="22"/>
          <w:lang w:eastAsia="es-MX"/>
        </w:rPr>
      </w:pPr>
      <w:r w:rsidRPr="00CF7DD9">
        <w:drawing>
          <wp:inline distT="0" distB="0" distL="0" distR="0" wp14:anchorId="15E2872C" wp14:editId="62B53B33">
            <wp:extent cx="5102698" cy="2592919"/>
            <wp:effectExtent l="177800" t="177800" r="180975" b="175895"/>
            <wp:docPr id="213636261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362610" name="Imagen 213636261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09171" cy="2596208"/>
                    </a:xfrm>
                    <a:prstGeom prst="rect">
                      <a:avLst/>
                    </a:prstGeom>
                    <a:ln>
                      <a:noFill/>
                    </a:ln>
                    <a:effectLst>
                      <a:outerShdw blurRad="190500" algn="tl" rotWithShape="0">
                        <a:srgbClr val="000000">
                          <a:alpha val="70000"/>
                        </a:srgbClr>
                      </a:outerShdw>
                    </a:effectLst>
                  </pic:spPr>
                </pic:pic>
              </a:graphicData>
            </a:graphic>
          </wp:inline>
        </w:drawing>
      </w:r>
    </w:p>
    <w:p w14:paraId="3E6738CB" w14:textId="77777777" w:rsidR="00E64AFE" w:rsidRPr="00E64AFE" w:rsidRDefault="00E64AFE" w:rsidP="00E64AFE">
      <w:pPr>
        <w:jc w:val="both"/>
        <w:rPr>
          <w:rFonts w:ascii="Dosis" w:hAnsi="Dosis"/>
          <w:sz w:val="22"/>
          <w:szCs w:val="22"/>
          <w:lang w:val="es-CO" w:eastAsia="es-MX"/>
        </w:rPr>
      </w:pPr>
      <w:r w:rsidRPr="00E64AFE">
        <w:rPr>
          <w:rFonts w:ascii="Dosis" w:hAnsi="Dosis"/>
          <w:sz w:val="22"/>
          <w:szCs w:val="22"/>
          <w:lang w:val="es-CO" w:eastAsia="es-MX"/>
        </w:rPr>
        <w:lastRenderedPageBreak/>
        <w:t>El mapa geoespacial que acompaña este apartado, construido a partir de la georreferenciación de los hogares participantes (F01–F15) y su vinculación con la base de datos del cuestionario, permite complementar la lectura agregada de los resultados con una mirada territorial. Para este ejercicio exploratorio se agruparon las viviendas en tres franjas aproximadas dentro del sector de estudio (sur, centro y norte), con el propósito de identificar si ciertas percepciones y experiencias —en particular las relacionadas con las condiciones del entorno, la exposición al mercado del suelo y la asociatividad— tienden a concentrarse en algunos subsectores del barrio. Dado el tamaño de la muestra, los patrones observados no buscan producir generalizaciones estadísticas, sino ofrecer indicios cualitativos que ayuden a interpretar de manera más fina la información representada en el mapa.</w:t>
      </w:r>
    </w:p>
    <w:p w14:paraId="18FA932C" w14:textId="77777777" w:rsidR="00E64AFE" w:rsidRPr="00E64AFE" w:rsidRDefault="00E64AFE" w:rsidP="00E64AFE">
      <w:pPr>
        <w:jc w:val="both"/>
        <w:rPr>
          <w:rFonts w:ascii="Dosis" w:hAnsi="Dosis"/>
          <w:sz w:val="22"/>
          <w:szCs w:val="22"/>
          <w:lang w:val="es-CO" w:eastAsia="es-MX"/>
        </w:rPr>
      </w:pPr>
      <w:r w:rsidRPr="00E64AFE">
        <w:rPr>
          <w:rFonts w:ascii="Dosis" w:hAnsi="Dosis"/>
          <w:sz w:val="22"/>
          <w:szCs w:val="22"/>
          <w:lang w:val="es-CO" w:eastAsia="es-MX"/>
        </w:rPr>
        <w:t>Al superponer las respuestas sobre las condiciones actuales del entorno con la localización de las viviendas, se observa que el malestar frente al ruido, la contaminación del aire, el tráfico vehicular y el tránsito de carga es un fenómeno ampliamente distribuido en el territorio. En las tres franjas analizadas predominan las valoraciones negativas, con variaciones leves en la intensidad según el subsector, pero sin que aparezcan zonas claramente “libres” de afectaciones. Desde la lectura espacial, el mapa confirma así que la experiencia de vivir en un entorno exigente desde el punto de vista ambiental y de movilidad no es exclusiva de un punto crítico aislado, sino una condición que atraviesa buena parte de Puerta de Teja, con matices pero sin quiebres territoriales tajantes.</w:t>
      </w:r>
    </w:p>
    <w:p w14:paraId="5FECC724" w14:textId="77777777" w:rsidR="00E64AFE" w:rsidRPr="00E64AFE" w:rsidRDefault="00E64AFE" w:rsidP="00E64AFE">
      <w:pPr>
        <w:jc w:val="both"/>
        <w:rPr>
          <w:rFonts w:ascii="Dosis" w:hAnsi="Dosis"/>
          <w:sz w:val="22"/>
          <w:szCs w:val="22"/>
          <w:lang w:val="es-CO" w:eastAsia="es-MX"/>
        </w:rPr>
      </w:pPr>
      <w:r w:rsidRPr="00E64AFE">
        <w:rPr>
          <w:rFonts w:ascii="Dosis" w:hAnsi="Dosis"/>
          <w:sz w:val="22"/>
          <w:szCs w:val="22"/>
          <w:lang w:val="es-CO" w:eastAsia="es-MX"/>
        </w:rPr>
        <w:t>Las diferencias más marcadas se aprecian cuando se cruzan las respuestas relativas a la exposición al mercado del suelo y a la percepción sobre el interés de los vecinos en asociarse. En las franjas sur y central se concentran con mayor frecuencia los casos en los que los hogares declaran haber pensado en vender y, al mismo tiempo, haber recibido ofertas de compra, mientras que en la franja norte son más frecuentes las respuestas que señalan no haber tenido aún contacto con el mercado. Algo similar ocurre con la asociatividad: en el área central tienden a agruparse las percepciones que consideran “algo” o “muy” probable que los vecinos se interesen en organizarse, mientras que en el norte predominan miradas más escépticas, y en el sur conviven expectativas altas y bajas, reflejando trayectorias y experiencias diversas frente a las propuestas institucionales y a las dinámicas inmobiliarias.</w:t>
      </w:r>
    </w:p>
    <w:p w14:paraId="19A086D9" w14:textId="77777777" w:rsidR="00E64AFE" w:rsidRPr="00E64AFE" w:rsidRDefault="00E64AFE" w:rsidP="009722F2">
      <w:pPr>
        <w:jc w:val="both"/>
        <w:rPr>
          <w:rFonts w:ascii="Dosis" w:hAnsi="Dosis"/>
          <w:sz w:val="22"/>
          <w:szCs w:val="22"/>
          <w:lang w:val="es-CO" w:eastAsia="es-MX"/>
        </w:rPr>
      </w:pPr>
      <w:r w:rsidRPr="00E64AFE">
        <w:rPr>
          <w:rFonts w:ascii="Dosis" w:hAnsi="Dosis"/>
          <w:sz w:val="22"/>
          <w:szCs w:val="22"/>
          <w:lang w:val="es-CO" w:eastAsia="es-MX"/>
        </w:rPr>
        <w:t xml:space="preserve">En conjunto, esta lectura espacial sugiere que, aunque la percepción de un entorno deteriorado es compartida por la mayoría de los hogares georreferenciados, las presiones del mercado del suelo y las expectativas sobre la asociatividad no se distribuyen de manera homogénea. El mapa que acompaña este bloque puede leerse, entonces, como una guía para la acción territorial: ayuda a identificar subsectores donde parece necesario reforzar las garantías frente al mercado y el acompañamiento para la toma de decisiones, así como áreas donde se percibe un mayor potencial para activar procesos de organización colectiva. Para los equipos solucionadores, esto implica que la herramienta de simulación y las estrategias de gestión del cambio deberían combinar mensajes comunes para el conjunto del barrio con enfoques </w:t>
      </w:r>
      <w:r w:rsidRPr="00E64AFE">
        <w:rPr>
          <w:rFonts w:ascii="Dosis" w:hAnsi="Dosis"/>
          <w:sz w:val="22"/>
          <w:szCs w:val="22"/>
          <w:lang w:val="es-CO" w:eastAsia="es-MX"/>
        </w:rPr>
        <w:lastRenderedPageBreak/>
        <w:t>diferenciados por subsector, reconociendo que la posición de cada hogar en el territorio influye en la forma en que se viven los riesgos y las oportunidades asociados al modelo de ciudad aeroportuaria.</w:t>
      </w:r>
    </w:p>
    <w:p w14:paraId="3C942720" w14:textId="3D64D764" w:rsidR="00E27D5F" w:rsidRPr="008747C1" w:rsidRDefault="00731302" w:rsidP="009722F2">
      <w:pPr>
        <w:jc w:val="both"/>
        <w:rPr>
          <w:rFonts w:ascii="Dosis" w:hAnsi="Dosis"/>
          <w:sz w:val="22"/>
          <w:szCs w:val="22"/>
          <w:lang w:eastAsia="es-MX"/>
        </w:rPr>
      </w:pPr>
      <w:r>
        <w:rPr>
          <w:rFonts w:ascii="Dosis" w:hAnsi="Dosis"/>
          <w:sz w:val="22"/>
          <w:szCs w:val="22"/>
          <w:lang w:eastAsia="es-MX"/>
        </w:rPr>
        <w:t>A lo largo del documento se describe</w:t>
      </w:r>
      <w:r w:rsidR="00D74362">
        <w:rPr>
          <w:rFonts w:ascii="Dosis" w:hAnsi="Dosis"/>
          <w:sz w:val="22"/>
          <w:szCs w:val="22"/>
          <w:lang w:eastAsia="es-MX"/>
        </w:rPr>
        <w:t xml:space="preserve"> con detalle el resultado de cada pregunta y la respuesta de los moradores dentro de las zonas directa o indirecta</w:t>
      </w:r>
      <w:r w:rsidR="00263037">
        <w:rPr>
          <w:rFonts w:ascii="Dosis" w:hAnsi="Dosis"/>
          <w:sz w:val="22"/>
          <w:szCs w:val="22"/>
          <w:lang w:eastAsia="es-MX"/>
        </w:rPr>
        <w:t xml:space="preserve">, lo cual permite encontrar las </w:t>
      </w:r>
      <w:r w:rsidR="009722F2">
        <w:rPr>
          <w:rFonts w:ascii="Dosis" w:hAnsi="Dosis"/>
          <w:sz w:val="22"/>
          <w:szCs w:val="22"/>
          <w:lang w:eastAsia="es-MX"/>
        </w:rPr>
        <w:t>correlaciones entre las diferentes variables ya mencionadas.</w:t>
      </w:r>
      <w:r w:rsidR="00263037">
        <w:rPr>
          <w:rFonts w:ascii="Dosis" w:hAnsi="Dosis"/>
          <w:sz w:val="22"/>
          <w:szCs w:val="22"/>
          <w:lang w:eastAsia="es-MX"/>
        </w:rPr>
        <w:t xml:space="preserve"> </w:t>
      </w:r>
    </w:p>
    <w:p w14:paraId="36D16236" w14:textId="77777777" w:rsidR="00D0254B" w:rsidRPr="00D0254B" w:rsidRDefault="00D0254B" w:rsidP="00F42F71">
      <w:pPr>
        <w:jc w:val="both"/>
        <w:rPr>
          <w:rFonts w:ascii="Dosis" w:hAnsi="Dosis"/>
          <w:b/>
          <w:bCs/>
          <w:sz w:val="22"/>
          <w:szCs w:val="22"/>
          <w:lang w:eastAsia="es-MX"/>
        </w:rPr>
      </w:pPr>
      <w:r w:rsidRPr="00D0254B">
        <w:rPr>
          <w:rFonts w:ascii="Dosis" w:hAnsi="Dosis"/>
          <w:b/>
          <w:bCs/>
          <w:sz w:val="22"/>
          <w:szCs w:val="22"/>
          <w:lang w:eastAsia="es-MX"/>
        </w:rPr>
        <w:t>Percepción de las condiciones actuales del entorno</w:t>
      </w:r>
    </w:p>
    <w:p w14:paraId="19B180E5" w14:textId="04CB8E37" w:rsidR="00D0254B" w:rsidRDefault="00D0254B" w:rsidP="00F42F71">
      <w:pPr>
        <w:jc w:val="both"/>
        <w:rPr>
          <w:rFonts w:ascii="Dosis" w:hAnsi="Dosis"/>
          <w:sz w:val="22"/>
          <w:szCs w:val="22"/>
          <w:lang w:eastAsia="es-MX"/>
        </w:rPr>
      </w:pPr>
      <w:r w:rsidRPr="00D0254B">
        <w:rPr>
          <w:rFonts w:ascii="Dosis" w:hAnsi="Dosis"/>
          <w:sz w:val="22"/>
          <w:szCs w:val="22"/>
          <w:lang w:eastAsia="es-MX"/>
        </w:rPr>
        <w:t xml:space="preserve">En la sección sobre condiciones actuales, el conjunto de respuestas dibuja un panorama crítico de la vida cotidiana en Puerta de Teja. El ruido, la contaminación del aire, el tráfico vehicular y el tránsito de carga son evaluados principalmente como “negativos” o “muy negativos”. No se observa un patrón predominante de respuestas neutras; por el contrario, la mayoría de </w:t>
      </w:r>
      <w:r w:rsidR="009722F2" w:rsidRPr="00D0254B">
        <w:rPr>
          <w:rFonts w:ascii="Dosis" w:hAnsi="Dosis"/>
          <w:sz w:val="22"/>
          <w:szCs w:val="22"/>
          <w:lang w:eastAsia="es-MX"/>
        </w:rPr>
        <w:t>las personas</w:t>
      </w:r>
      <w:r w:rsidRPr="00D0254B">
        <w:rPr>
          <w:rFonts w:ascii="Dosis" w:hAnsi="Dosis"/>
          <w:sz w:val="22"/>
          <w:szCs w:val="22"/>
          <w:lang w:eastAsia="es-MX"/>
        </w:rPr>
        <w:t xml:space="preserve"> expresa que estos factores afectan de manera sensible su bienestar diario. Esto sugiere que el territorio se vive como un espacio fuertemente condicionado por externalidades urbanas asociadas a la operación aeroportuaria y logística, que se traducen en dificultades para el descanso, percepción de inseguridad, desgaste emocional y sensación de saturación física del entorno.</w:t>
      </w:r>
    </w:p>
    <w:p w14:paraId="59B64517" w14:textId="0AF0C4F7" w:rsidR="000F6FD5" w:rsidRPr="00D0254B" w:rsidRDefault="00002DF2" w:rsidP="00155CBD">
      <w:pPr>
        <w:jc w:val="center"/>
        <w:rPr>
          <w:rFonts w:ascii="Dosis" w:hAnsi="Dosis"/>
          <w:sz w:val="22"/>
          <w:szCs w:val="22"/>
          <w:lang w:eastAsia="es-MX"/>
        </w:rPr>
      </w:pPr>
      <w:r>
        <w:rPr>
          <w:noProof/>
        </w:rPr>
        <w:drawing>
          <wp:inline distT="0" distB="0" distL="0" distR="0" wp14:anchorId="461C477E" wp14:editId="67AE1AEB">
            <wp:extent cx="5252936" cy="2723744"/>
            <wp:effectExtent l="0" t="0" r="17780" b="6985"/>
            <wp:docPr id="1957662198" name="Gráfico 1">
              <a:extLst xmlns:a="http://schemas.openxmlformats.org/drawingml/2006/main">
                <a:ext uri="{FF2B5EF4-FFF2-40B4-BE49-F238E27FC236}">
                  <a16:creationId xmlns:a16="http://schemas.microsoft.com/office/drawing/2014/main" id="{9FDD0749-37CB-CE86-6627-2CA70FF8D7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92768CA" w14:textId="65E87E62" w:rsidR="00916457" w:rsidRDefault="34F4B379" w:rsidP="00F42F71">
      <w:pPr>
        <w:jc w:val="both"/>
        <w:rPr>
          <w:rFonts w:ascii="Dosis" w:hAnsi="Dosis"/>
          <w:sz w:val="22"/>
          <w:szCs w:val="22"/>
          <w:lang w:eastAsia="es-MX"/>
        </w:rPr>
      </w:pPr>
      <w:r w:rsidRPr="00F42F71">
        <w:rPr>
          <w:rFonts w:ascii="Dosis" w:hAnsi="Dosis"/>
          <w:sz w:val="22"/>
          <w:szCs w:val="22"/>
          <w:lang w:eastAsia="es-MX"/>
        </w:rPr>
        <w:t>Esto indica que el territorio se vive como un espacio sobrecargado por externalidades urbanas adversas, lo cual se traduce en estrés cotidiano, dificultades para el descanso, sensaciones de inseguridad y desgaste emocional. Desde la perspectiva de la gestión de proyectos, este hallazgo tiene un doble filo: por un lado, existe un malestar real con la situación presente que podría abrir la puerta a la disposición al cambio; por otro, cualquier propuesta que implique intensificar actividades logísticas o de tráfico pesado corre el riesgo de ser percibida como profundización de un problema que ya se considera crítico.</w:t>
      </w:r>
    </w:p>
    <w:p w14:paraId="1F503ED6" w14:textId="64874AD7" w:rsidR="000F6FD5" w:rsidRPr="00F42F71" w:rsidRDefault="000F6FD5" w:rsidP="00F42F71">
      <w:pPr>
        <w:jc w:val="both"/>
        <w:rPr>
          <w:rFonts w:ascii="Dosis" w:hAnsi="Dosis"/>
          <w:sz w:val="22"/>
          <w:szCs w:val="22"/>
          <w:lang w:eastAsia="es-MX"/>
        </w:rPr>
      </w:pPr>
      <w:r w:rsidRPr="00F42F71">
        <w:rPr>
          <w:noProof/>
        </w:rPr>
        <w:lastRenderedPageBreak/>
        <w:drawing>
          <wp:inline distT="0" distB="0" distL="0" distR="0" wp14:anchorId="354F15AA" wp14:editId="6C7E07D9">
            <wp:extent cx="5612130" cy="2276475"/>
            <wp:effectExtent l="0" t="0" r="13970" b="9525"/>
            <wp:docPr id="1741353993" name="Gráfico 1">
              <a:extLst xmlns:a="http://schemas.openxmlformats.org/drawingml/2006/main">
                <a:ext uri="{FF2B5EF4-FFF2-40B4-BE49-F238E27FC236}">
                  <a16:creationId xmlns:a16="http://schemas.microsoft.com/office/drawing/2014/main" id="{104F1970-9CBE-1C41-88EB-9572032604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39DC595" w14:textId="6B272396" w:rsidR="00916457" w:rsidRPr="00F42F71" w:rsidRDefault="009B6B3B" w:rsidP="000F6FD5">
      <w:pPr>
        <w:jc w:val="both"/>
        <w:rPr>
          <w:rFonts w:ascii="Dosis" w:hAnsi="Dosis"/>
          <w:sz w:val="22"/>
          <w:szCs w:val="22"/>
          <w:lang w:eastAsia="es-MX"/>
        </w:rPr>
      </w:pPr>
      <w:r w:rsidRPr="009B6B3B">
        <w:rPr>
          <w:rFonts w:ascii="Dosis" w:hAnsi="Dosis"/>
          <w:sz w:val="22"/>
          <w:szCs w:val="22"/>
          <w:lang w:eastAsia="es-MX"/>
        </w:rPr>
        <w:t>Desde la perspectiva de la gestión de proyectos, este hallazgo tiene al menos dos implicaciones. Por un lado, el malestar acumulado con las condiciones actuales puede convertirse en un punto de partida para discutir cambios: es razonable pensar que, ante un entorno percibido como ambientalmente exigente y poco confortable, una parte de los hogares esté dispuesta a considerar alternativas que prometan mejoras tangibles. Por otro lado, cualquier propuesta que implique intensificar actividades logísticas, aumentar el tráfico pesado o introducir usos que refuercen estas externalidades corre el riesgo de ser leída como una profundización de problemas que ya se consideran críticos. El diseño de proyectos y de escenarios de uso del suelo deberá, por tanto, demostrar de forma convincente que no se trata simplemente de “más de lo mismo”, sino de transformaciones que reducen impactos negativos, mejoran la habitabilidad y respetan el carácter residencial del barrio.</w:t>
      </w:r>
    </w:p>
    <w:p w14:paraId="1EC200BA" w14:textId="77777777" w:rsidR="00397498" w:rsidRPr="00397498" w:rsidRDefault="00397498" w:rsidP="00F42F71">
      <w:pPr>
        <w:jc w:val="both"/>
        <w:rPr>
          <w:rFonts w:ascii="Dosis" w:hAnsi="Dosis"/>
          <w:b/>
          <w:bCs/>
          <w:sz w:val="22"/>
          <w:szCs w:val="22"/>
          <w:lang w:eastAsia="es-MX"/>
        </w:rPr>
      </w:pPr>
      <w:r w:rsidRPr="00397498">
        <w:rPr>
          <w:rFonts w:ascii="Dosis" w:hAnsi="Dosis"/>
          <w:b/>
          <w:bCs/>
          <w:sz w:val="22"/>
          <w:szCs w:val="22"/>
          <w:lang w:eastAsia="es-MX"/>
        </w:rPr>
        <w:t>Conocimiento del programa “Bogotá Ciudad Aeropuerto” y oportunidades percibidas</w:t>
      </w:r>
    </w:p>
    <w:p w14:paraId="13A29B84" w14:textId="77777777" w:rsidR="00397498" w:rsidRPr="00F42F71" w:rsidRDefault="00397498" w:rsidP="00F42F71">
      <w:pPr>
        <w:jc w:val="both"/>
        <w:rPr>
          <w:rFonts w:ascii="Dosis" w:hAnsi="Dosis"/>
          <w:sz w:val="22"/>
          <w:szCs w:val="22"/>
          <w:lang w:eastAsia="es-MX"/>
        </w:rPr>
      </w:pPr>
      <w:r w:rsidRPr="00397498">
        <w:rPr>
          <w:rFonts w:ascii="Dosis" w:hAnsi="Dosis"/>
          <w:sz w:val="22"/>
          <w:szCs w:val="22"/>
          <w:lang w:eastAsia="es-MX"/>
        </w:rPr>
        <w:t>A pesar de este contexto exigente, el programa “Bogotá Ciudad Aeropuerto” no es completamente ajeno para la comunidad que participa en la sesión. La mayoría de las personas encuestadas declara tener al menos una idea general del programa y un grupo menor afirma contar con buena información al respecto, mientras que solo una persona señala no haber oído del tema. Esto permite inferir que el programa ya hace parte de la conversación local, aunque con niveles de profundidad diferenciados y con un peso importante de relatos informales. La presencia de un número significativo de personas que se ubican en la categoría de “idea general” indica que la comunicación institucional ha sido suficiente para instalar el tema, pero no necesariamente para que las familias comprendan en detalle las implicaciones de la ZIDA y de los instrumentos de protección de moradores.</w:t>
      </w:r>
    </w:p>
    <w:p w14:paraId="6B2343E7" w14:textId="3E02A652" w:rsidR="00902E11" w:rsidRPr="00397498" w:rsidRDefault="00902E11" w:rsidP="00F42F71">
      <w:pPr>
        <w:jc w:val="both"/>
        <w:rPr>
          <w:rFonts w:ascii="Dosis" w:hAnsi="Dosis"/>
          <w:sz w:val="22"/>
          <w:szCs w:val="22"/>
          <w:lang w:eastAsia="es-MX"/>
        </w:rPr>
      </w:pPr>
      <w:r w:rsidRPr="00F42F71">
        <w:rPr>
          <w:noProof/>
        </w:rPr>
        <w:lastRenderedPageBreak/>
        <w:drawing>
          <wp:inline distT="0" distB="0" distL="0" distR="0" wp14:anchorId="06B36BCA" wp14:editId="4E9AF816">
            <wp:extent cx="5400000" cy="2700000"/>
            <wp:effectExtent l="0" t="0" r="10795" b="18415"/>
            <wp:docPr id="1697497426" name="Gráfico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034D66A" w14:textId="68D599D8" w:rsidR="00397498" w:rsidRPr="00F42F71" w:rsidRDefault="00397498" w:rsidP="00F42F71">
      <w:pPr>
        <w:jc w:val="both"/>
        <w:rPr>
          <w:rFonts w:ascii="Dosis" w:hAnsi="Dosis"/>
          <w:sz w:val="22"/>
          <w:szCs w:val="22"/>
          <w:lang w:eastAsia="es-MX"/>
        </w:rPr>
      </w:pPr>
      <w:r w:rsidRPr="00397498">
        <w:rPr>
          <w:rFonts w:ascii="Dosis" w:hAnsi="Dosis"/>
          <w:sz w:val="22"/>
          <w:szCs w:val="22"/>
          <w:lang w:eastAsia="es-MX"/>
        </w:rPr>
        <w:t xml:space="preserve">En este escenario, </w:t>
      </w:r>
      <w:r w:rsidR="00C22ABD">
        <w:rPr>
          <w:rFonts w:ascii="Dosis" w:hAnsi="Dosis"/>
          <w:sz w:val="22"/>
          <w:szCs w:val="22"/>
          <w:lang w:eastAsia="es-MX"/>
        </w:rPr>
        <w:t>como dato a resaltar, la persona que nunca ha oído sobre el tema está identificado como propietario en la recolección de información</w:t>
      </w:r>
      <w:r w:rsidR="00E34332">
        <w:rPr>
          <w:rFonts w:ascii="Dosis" w:hAnsi="Dosis"/>
          <w:sz w:val="22"/>
          <w:szCs w:val="22"/>
          <w:lang w:eastAsia="es-MX"/>
        </w:rPr>
        <w:t xml:space="preserve">; en este sentido, </w:t>
      </w:r>
      <w:r w:rsidRPr="00397498">
        <w:rPr>
          <w:rFonts w:ascii="Dosis" w:hAnsi="Dosis"/>
          <w:sz w:val="22"/>
          <w:szCs w:val="22"/>
          <w:lang w:eastAsia="es-MX"/>
        </w:rPr>
        <w:t>el riesgo principal no es tanto la ausencia total de información, sino la circulación de información parcial, fragmentada o interpretada por terceros. Ello puede dar lugar a malentendidos, rumores y expectativas desalineadas sobre tiempos, beneficios y obligaciones. Una pregunta abierta, que sería pertinente abordar con el cruce detallado de bases de datos, es si la persona que declara no haber oído del programa coincide con la que se identifica como arrendataria, o si se trata de perfiles distintos; este tipo de cruces permitiría comprender mejor dónde se concentran los vacíos de información y qué grupos requieren estrategias específicas de comunicación.</w:t>
      </w:r>
    </w:p>
    <w:p w14:paraId="29D80D9D" w14:textId="4AF4C33A" w:rsidR="00046F18" w:rsidRPr="00397498" w:rsidRDefault="00046F18" w:rsidP="00F42F71">
      <w:pPr>
        <w:jc w:val="both"/>
        <w:rPr>
          <w:rFonts w:ascii="Dosis" w:hAnsi="Dosis"/>
          <w:sz w:val="22"/>
          <w:szCs w:val="22"/>
          <w:lang w:eastAsia="es-MX"/>
        </w:rPr>
      </w:pPr>
      <w:r w:rsidRPr="00F42F71">
        <w:rPr>
          <w:noProof/>
        </w:rPr>
        <w:drawing>
          <wp:inline distT="0" distB="0" distL="0" distR="0" wp14:anchorId="2AF269B4" wp14:editId="6F2CE1C7">
            <wp:extent cx="5612130" cy="2489200"/>
            <wp:effectExtent l="0" t="0" r="13970" b="12700"/>
            <wp:docPr id="802209759" name="Gráfico 1">
              <a:extLst xmlns:a="http://schemas.openxmlformats.org/drawingml/2006/main">
                <a:ext uri="{FF2B5EF4-FFF2-40B4-BE49-F238E27FC236}">
                  <a16:creationId xmlns:a16="http://schemas.microsoft.com/office/drawing/2014/main" id="{5C56270E-2E31-4C48-80DE-84387CCE1D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6129AF0" w14:textId="77777777" w:rsidR="00397498" w:rsidRPr="00397498" w:rsidRDefault="00397498" w:rsidP="00F42F71">
      <w:pPr>
        <w:jc w:val="both"/>
        <w:rPr>
          <w:rFonts w:ascii="Dosis" w:hAnsi="Dosis"/>
          <w:sz w:val="22"/>
          <w:szCs w:val="22"/>
          <w:lang w:eastAsia="es-MX"/>
        </w:rPr>
      </w:pPr>
      <w:r w:rsidRPr="00397498">
        <w:rPr>
          <w:rFonts w:ascii="Dosis" w:hAnsi="Dosis"/>
          <w:sz w:val="22"/>
          <w:szCs w:val="22"/>
          <w:lang w:eastAsia="es-MX"/>
        </w:rPr>
        <w:lastRenderedPageBreak/>
        <w:t>De manera complementaria, las afirmaciones relativas a las oportunidades del modelo “ciudad aeropuerto” —posibilidad de empleo, valorización de predios, beneficios para residentes actuales— tienden a ser evaluadas con acuerdo o alto nivel de acuerdo. Las y los moradores reconocen que, en abstracto, este tipo de desarrollo puede traer oportunidades económicas y un aumento del valor de sus propiedades. Esto sugiere una actitud pragmática: el territorio se percibe al mismo tiempo como un espacio afectado por impactos negativos y como un lugar con potencial para generar ingresos y mejorar las condiciones de vida, siempre que los beneficios no se distribuyan de forma excluyente ni se construyan a costa del desarraigo de quienes hoy habitan el sector.</w:t>
      </w:r>
    </w:p>
    <w:p w14:paraId="6A377896" w14:textId="13BBDC15" w:rsidR="00351C14" w:rsidRPr="00F42F71" w:rsidRDefault="00397498" w:rsidP="00F42F71">
      <w:pPr>
        <w:jc w:val="both"/>
        <w:rPr>
          <w:rFonts w:ascii="Dosis" w:hAnsi="Dosis"/>
          <w:sz w:val="22"/>
          <w:szCs w:val="22"/>
          <w:lang w:eastAsia="es-MX"/>
        </w:rPr>
      </w:pPr>
      <w:r w:rsidRPr="00F42F71">
        <w:rPr>
          <w:rFonts w:ascii="Dosis" w:hAnsi="Dosis"/>
          <w:sz w:val="22"/>
          <w:szCs w:val="22"/>
          <w:lang w:eastAsia="es-MX"/>
        </w:rPr>
        <w:t xml:space="preserve">En ningún caso los resultados permiten afirmar que exista una relación adversa entre el nivel de conocimiento del programa y el reconocimiento de los problemas del entorno. Más bien, lo que se observa es la </w:t>
      </w:r>
      <w:proofErr w:type="spellStart"/>
      <w:r w:rsidRPr="00F42F71">
        <w:rPr>
          <w:rFonts w:ascii="Dosis" w:hAnsi="Dosis"/>
          <w:sz w:val="22"/>
          <w:szCs w:val="22"/>
          <w:lang w:eastAsia="es-MX"/>
        </w:rPr>
        <w:t>co</w:t>
      </w:r>
      <w:proofErr w:type="spellEnd"/>
      <w:r w:rsidRPr="00F42F71">
        <w:rPr>
          <w:rFonts w:ascii="Dosis" w:hAnsi="Dosis"/>
          <w:sz w:val="22"/>
          <w:szCs w:val="22"/>
          <w:lang w:eastAsia="es-MX"/>
        </w:rPr>
        <w:t xml:space="preserve">–existencia de ambos elementos: las personas reconocen las dificultades ambientales y de movilidad, y al mismo tiempo empiezan a incorporar el lenguaje y las promesas asociadas al proyecto. De cara a la gestión del cambio, esto refuerza la necesidad de un rol activo de los enlaces institucionales (SPLO – Bogotá Ciudad Aeropuerto, </w:t>
      </w:r>
      <w:proofErr w:type="spellStart"/>
      <w:r w:rsidRPr="00F42F71">
        <w:rPr>
          <w:rFonts w:ascii="Dosis" w:hAnsi="Dosis"/>
          <w:sz w:val="22"/>
          <w:szCs w:val="22"/>
          <w:lang w:eastAsia="es-MX"/>
        </w:rPr>
        <w:t>RenoBo</w:t>
      </w:r>
      <w:proofErr w:type="spellEnd"/>
      <w:r w:rsidRPr="00F42F71">
        <w:rPr>
          <w:rFonts w:ascii="Dosis" w:hAnsi="Dosis"/>
          <w:sz w:val="22"/>
          <w:szCs w:val="22"/>
          <w:lang w:eastAsia="es-MX"/>
        </w:rPr>
        <w:t xml:space="preserve"> y la Oficina Laboratorio de Ciudad) como puentes de confianza que aclaren dudas normativas, expliquen con rigurosidad el alcance de la protección de moradores establecida en el Plan de Ordenamiento Territorial y sus decretos reglamentarios, y ayuden a traducir al lenguaje cotidiano los escenarios que se pondrán en juego mediante la herramienta de simulación.</w:t>
      </w:r>
    </w:p>
    <w:p w14:paraId="66D77D88" w14:textId="77777777" w:rsidR="00980816" w:rsidRPr="00980816" w:rsidRDefault="00980816" w:rsidP="00F42F71">
      <w:pPr>
        <w:jc w:val="both"/>
        <w:rPr>
          <w:rFonts w:ascii="Dosis" w:hAnsi="Dosis"/>
          <w:b/>
          <w:bCs/>
          <w:sz w:val="22"/>
          <w:szCs w:val="22"/>
          <w:lang w:eastAsia="es-MX"/>
        </w:rPr>
      </w:pPr>
      <w:r w:rsidRPr="00980816">
        <w:rPr>
          <w:rFonts w:ascii="Dosis" w:hAnsi="Dosis"/>
          <w:b/>
          <w:bCs/>
          <w:sz w:val="22"/>
          <w:szCs w:val="22"/>
          <w:lang w:eastAsia="es-MX"/>
        </w:rPr>
        <w:t>Exposición al mercado del suelo y decisiones frente a la residencia</w:t>
      </w:r>
    </w:p>
    <w:p w14:paraId="73F7B075" w14:textId="77777777" w:rsidR="00980816" w:rsidRPr="00F42F71" w:rsidRDefault="00980816" w:rsidP="00F42F71">
      <w:pPr>
        <w:jc w:val="both"/>
        <w:rPr>
          <w:rFonts w:ascii="Dosis" w:hAnsi="Dosis"/>
          <w:sz w:val="22"/>
          <w:szCs w:val="22"/>
          <w:lang w:eastAsia="es-MX"/>
        </w:rPr>
      </w:pPr>
      <w:r w:rsidRPr="00980816">
        <w:rPr>
          <w:rFonts w:ascii="Dosis" w:hAnsi="Dosis"/>
          <w:sz w:val="22"/>
          <w:szCs w:val="22"/>
          <w:lang w:eastAsia="es-MX"/>
        </w:rPr>
        <w:t>Los resultados asociados a la exposición al mercado del suelo muestran que una parte de los encuestados ha recibido ofertas para vender su predio, ha considerado la posibilidad de vender o ha experimentado ambas situaciones, mientras que otro grupo manifiesta no haber tenido todavía contacto directo con potenciales compradores ni haber pensado seriamente en la venta. Esto indica que el mercado ya “toca la puerta” del territorio, pero de manera desigual: no todos los hogares están en la misma fase de relacionamiento con actores inmobiliarios, ni cuentan con la misma información sobre precios, condiciones contractuales o alternativas reales. En términos de acompañamiento, esto implica que las estrategias no pueden asumir un punto de partida homogéneo, sino que deben reconocer tanto a quienes ya están comparando ofertas concretas como a quienes apenas comienzan a preguntarse por el significado de vender.</w:t>
      </w:r>
    </w:p>
    <w:p w14:paraId="7592B607" w14:textId="1E8CEED5" w:rsidR="0076260D" w:rsidRPr="00980816" w:rsidRDefault="00E313D2" w:rsidP="00F42F71">
      <w:pPr>
        <w:jc w:val="both"/>
        <w:rPr>
          <w:rFonts w:ascii="Dosis" w:hAnsi="Dosis"/>
          <w:sz w:val="22"/>
          <w:szCs w:val="22"/>
          <w:lang w:eastAsia="es-MX"/>
        </w:rPr>
      </w:pPr>
      <w:r w:rsidRPr="00F42F71">
        <w:rPr>
          <w:noProof/>
        </w:rPr>
        <w:lastRenderedPageBreak/>
        <w:drawing>
          <wp:inline distT="0" distB="0" distL="0" distR="0" wp14:anchorId="1FB3366D" wp14:editId="17B51AD2">
            <wp:extent cx="5400000" cy="2700000"/>
            <wp:effectExtent l="0" t="0" r="10795" b="18415"/>
            <wp:docPr id="426810166" name="Gráfico 1">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039617C" w14:textId="77777777" w:rsidR="00980816" w:rsidRPr="00980816" w:rsidRDefault="00980816" w:rsidP="00F42F71">
      <w:pPr>
        <w:jc w:val="both"/>
        <w:rPr>
          <w:rFonts w:ascii="Dosis" w:hAnsi="Dosis"/>
          <w:sz w:val="22"/>
          <w:szCs w:val="22"/>
          <w:lang w:eastAsia="es-MX"/>
        </w:rPr>
      </w:pPr>
      <w:r w:rsidRPr="00980816">
        <w:rPr>
          <w:rFonts w:ascii="Dosis" w:hAnsi="Dosis"/>
          <w:sz w:val="22"/>
          <w:szCs w:val="22"/>
          <w:lang w:eastAsia="es-MX"/>
        </w:rPr>
        <w:t>Sería especialmente útil avanzar en el cruce entre las personas que han recibido ofertas y su ubicación específica en el sector: si se concentran en ciertas manzanas, en predios con determinadas características o en zonas colindantes con los corredores de mayor actividad logística. Asimismo, la distinción entre predios localizados dentro y fuera de la ZIDA abre la posibilidad de analizar si las dinámicas de ofertas y presiones de mercado se distribuyen de forma diferente según la normativa aplicable y la percepción de riesgo u oportunidad que tienen los potenciales compradores. Por ahora, el cuestionario permite afirmar que la experiencia de exposición al mercado no es uniforme y que esta asimetría puede traducirse en expectativas y ansiedades distintas al interior de la comunidad.</w:t>
      </w:r>
    </w:p>
    <w:p w14:paraId="345D7198" w14:textId="77777777" w:rsidR="00980816" w:rsidRPr="00F42F71" w:rsidRDefault="00980816" w:rsidP="00F42F71">
      <w:pPr>
        <w:jc w:val="both"/>
        <w:rPr>
          <w:rFonts w:ascii="Dosis" w:hAnsi="Dosis"/>
          <w:sz w:val="22"/>
          <w:szCs w:val="22"/>
          <w:lang w:eastAsia="es-MX"/>
        </w:rPr>
      </w:pPr>
      <w:r w:rsidRPr="00980816">
        <w:rPr>
          <w:rFonts w:ascii="Dosis" w:hAnsi="Dosis"/>
          <w:sz w:val="22"/>
          <w:szCs w:val="22"/>
          <w:lang w:eastAsia="es-MX"/>
        </w:rPr>
        <w:t>En cuanto a la alternativa preferida frente a la residencia actual, los resultados indican una tensión clara entre quienes desearían permanecer en su predio y quienes contemplan la opción de vender y mudarse. Esta tensión expresa, de manera bastante nítida, la dualidad entre arraigo y búsqueda de mejores condiciones. Sin embargo, a la luz de las discusiones en la sesión grupal y de la manera como los moradores narran sus miedos, es importante matizar la lectura de la venta como “mejor opción”: para muchas personas, la posibilidad de vender aparece menos como una aspiración positiva y más como un recurso al que podrían verse obligadas si el entorno se vuelve insostenible o si sienten que no cuentan con condiciones mínimas de protección y acompañamiento. En otras palabras, la venta suele asociarse a la necesidad de garantizar un mínimo de estabilidad económica y habitacional en un contexto de incertidumbre, más que a un deseo de desvincularse del territorio.</w:t>
      </w:r>
    </w:p>
    <w:p w14:paraId="3DA2560D" w14:textId="56CCA98A" w:rsidR="009F09F6" w:rsidRPr="00980816" w:rsidRDefault="009F09F6" w:rsidP="00F42F71">
      <w:pPr>
        <w:jc w:val="both"/>
        <w:rPr>
          <w:rFonts w:ascii="Dosis" w:hAnsi="Dosis"/>
          <w:sz w:val="22"/>
          <w:szCs w:val="22"/>
          <w:lang w:eastAsia="es-MX"/>
        </w:rPr>
      </w:pPr>
      <w:r w:rsidRPr="00F42F71">
        <w:rPr>
          <w:noProof/>
        </w:rPr>
        <w:lastRenderedPageBreak/>
        <w:drawing>
          <wp:inline distT="0" distB="0" distL="0" distR="0" wp14:anchorId="0490EF86" wp14:editId="0C9E43DA">
            <wp:extent cx="5400000" cy="2700000"/>
            <wp:effectExtent l="0" t="0" r="10795" b="18415"/>
            <wp:docPr id="1522993993" name="Gráfico 1">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FDB99C0" w14:textId="77777777" w:rsidR="00980816" w:rsidRPr="00980816" w:rsidRDefault="00980816" w:rsidP="00F42F71">
      <w:pPr>
        <w:jc w:val="both"/>
        <w:rPr>
          <w:rFonts w:ascii="Dosis" w:hAnsi="Dosis"/>
          <w:sz w:val="22"/>
          <w:szCs w:val="22"/>
          <w:lang w:eastAsia="es-MX"/>
        </w:rPr>
      </w:pPr>
      <w:r w:rsidRPr="00980816">
        <w:rPr>
          <w:rFonts w:ascii="Dosis" w:hAnsi="Dosis"/>
          <w:sz w:val="22"/>
          <w:szCs w:val="22"/>
          <w:lang w:eastAsia="es-MX"/>
        </w:rPr>
        <w:t>En este sentido, un esquema de intervención que planteara únicamente la permanencia o únicamente la venta resultaría insuficiente. Se requieren rutas diferenciadas que combinen opciones de permanencia mejorada —con inversiones en vivienda, mitigación de impactos y garantías jurídicas claras— y esquemas de relocalización con acompañamiento integral, que cumplan las salvaguardas previstas en el POT y en la normativa de protección de moradores (incluido el Decreto 563 de 2023) y que no dejen la carga del riesgo exclusivamente en los hogares.</w:t>
      </w:r>
    </w:p>
    <w:p w14:paraId="03C0D56B" w14:textId="77777777" w:rsidR="00BA0757" w:rsidRPr="00BA0757" w:rsidRDefault="00BA0757" w:rsidP="00F42F71">
      <w:pPr>
        <w:jc w:val="both"/>
        <w:rPr>
          <w:rFonts w:ascii="Dosis" w:hAnsi="Dosis"/>
          <w:b/>
          <w:bCs/>
          <w:sz w:val="22"/>
          <w:szCs w:val="22"/>
          <w:lang w:eastAsia="es-MX"/>
        </w:rPr>
      </w:pPr>
      <w:r w:rsidRPr="00BA0757">
        <w:rPr>
          <w:rFonts w:ascii="Dosis" w:hAnsi="Dosis"/>
          <w:b/>
          <w:bCs/>
          <w:sz w:val="22"/>
          <w:szCs w:val="22"/>
          <w:lang w:eastAsia="es-MX"/>
        </w:rPr>
        <w:t>Asociatividad, escala de organización y heterogeneidad de actividades económicas</w:t>
      </w:r>
    </w:p>
    <w:p w14:paraId="2F143FB8" w14:textId="77777777" w:rsidR="0035354E" w:rsidRPr="00F42F71" w:rsidRDefault="005862B7" w:rsidP="00F42F71">
      <w:pPr>
        <w:jc w:val="both"/>
        <w:rPr>
          <w:rFonts w:ascii="Dosis" w:hAnsi="Dosis"/>
          <w:sz w:val="22"/>
          <w:szCs w:val="22"/>
          <w:lang w:eastAsia="es-MX"/>
        </w:rPr>
      </w:pPr>
      <w:r w:rsidRPr="005862B7">
        <w:rPr>
          <w:rFonts w:ascii="Dosis" w:hAnsi="Dosis"/>
          <w:sz w:val="22"/>
          <w:szCs w:val="22"/>
          <w:lang w:eastAsia="es-MX"/>
        </w:rPr>
        <w:t xml:space="preserve">Las preguntas sobre asociatividad muestran una disposición matizada a organizarse con otras personas. Aunque existe un grupo que declara no tener interés en asociarse, la mayoría de los encuestados se ubica entre el “sí me interesa” y el “tal vez, si los beneficios están claros”. Esto sugiere que la asociatividad no está descartada de entrada, pero es condicional: requiere que las reglas del juego, la distribución de beneficios, los riesgos asociados y el rol de cada actor estén claramente explicados y respaldados por instituciones que generen confianza. </w:t>
      </w:r>
    </w:p>
    <w:p w14:paraId="5F52EBC4" w14:textId="766C94F6" w:rsidR="0035354E" w:rsidRPr="00F42F71" w:rsidRDefault="0035354E" w:rsidP="00F42F71">
      <w:pPr>
        <w:jc w:val="both"/>
        <w:rPr>
          <w:rFonts w:ascii="Dosis" w:hAnsi="Dosis"/>
          <w:sz w:val="22"/>
          <w:szCs w:val="22"/>
          <w:lang w:eastAsia="es-MX"/>
        </w:rPr>
      </w:pPr>
      <w:r w:rsidRPr="00F42F71">
        <w:rPr>
          <w:noProof/>
        </w:rPr>
        <w:lastRenderedPageBreak/>
        <w:drawing>
          <wp:inline distT="0" distB="0" distL="0" distR="0" wp14:anchorId="3E9BA4DE" wp14:editId="0A4324CC">
            <wp:extent cx="5400000" cy="2700000"/>
            <wp:effectExtent l="0" t="0" r="10795" b="18415"/>
            <wp:docPr id="722018879" name="Gráfico 1">
              <a:extLst xmlns:a="http://schemas.openxmlformats.org/drawingml/2006/main">
                <a:ext uri="{FF2B5EF4-FFF2-40B4-BE49-F238E27FC236}">
                  <a16:creationId xmlns:a16="http://schemas.microsoft.com/office/drawing/2014/main" id="{972AEF40-DC2E-EE4B-B7B4-7F065327ED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B584649" w14:textId="36DD354F" w:rsidR="005862B7" w:rsidRPr="00F42F71" w:rsidRDefault="005862B7" w:rsidP="00F42F71">
      <w:pPr>
        <w:jc w:val="both"/>
        <w:rPr>
          <w:rFonts w:ascii="Dosis" w:hAnsi="Dosis"/>
          <w:sz w:val="22"/>
          <w:szCs w:val="22"/>
          <w:lang w:eastAsia="es-MX"/>
        </w:rPr>
      </w:pPr>
      <w:r w:rsidRPr="005862B7">
        <w:rPr>
          <w:rFonts w:ascii="Dosis" w:hAnsi="Dosis"/>
          <w:sz w:val="22"/>
          <w:szCs w:val="22"/>
          <w:lang w:eastAsia="es-MX"/>
        </w:rPr>
        <w:t>Cuando se indaga por los elementos que harían atractiva la asociación, el factor más mencionado es precisamente la existencia de información clara sobre beneficios y condiciones, seguido por la posibilidad de obtener mejores ingresos (ya sea por una venta conjunta o por esquemas de rentas periódicas) y por alternativas de reubicación que ofrezcan seguridad.</w:t>
      </w:r>
    </w:p>
    <w:p w14:paraId="66954E64" w14:textId="521A3BD8" w:rsidR="005862B7" w:rsidRPr="005862B7" w:rsidRDefault="00CA10AC" w:rsidP="00F42F71">
      <w:pPr>
        <w:jc w:val="both"/>
        <w:rPr>
          <w:rFonts w:ascii="Dosis" w:hAnsi="Dosis"/>
          <w:sz w:val="22"/>
          <w:szCs w:val="22"/>
          <w:lang w:eastAsia="es-MX"/>
        </w:rPr>
      </w:pPr>
      <w:r w:rsidRPr="00F42F71">
        <w:rPr>
          <w:noProof/>
        </w:rPr>
        <w:drawing>
          <wp:inline distT="0" distB="0" distL="0" distR="0" wp14:anchorId="53769D91" wp14:editId="4688171E">
            <wp:extent cx="5612130" cy="2276475"/>
            <wp:effectExtent l="0" t="0" r="13970" b="9525"/>
            <wp:docPr id="477487376" name="Gráfico 1">
              <a:extLst xmlns:a="http://schemas.openxmlformats.org/drawingml/2006/main">
                <a:ext uri="{FF2B5EF4-FFF2-40B4-BE49-F238E27FC236}">
                  <a16:creationId xmlns:a16="http://schemas.microsoft.com/office/drawing/2014/main" id="{E7EA7600-31F7-3446-AFFA-5BF4FB3FEF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48D49BE" w14:textId="77777777" w:rsidR="005862B7" w:rsidRPr="00F42F71" w:rsidRDefault="005862B7" w:rsidP="00F42F71">
      <w:pPr>
        <w:jc w:val="both"/>
        <w:rPr>
          <w:rFonts w:ascii="Dosis" w:hAnsi="Dosis"/>
          <w:sz w:val="22"/>
          <w:szCs w:val="22"/>
          <w:lang w:eastAsia="es-MX"/>
        </w:rPr>
      </w:pPr>
      <w:r w:rsidRPr="005862B7">
        <w:rPr>
          <w:rFonts w:ascii="Dosis" w:hAnsi="Dosis"/>
          <w:sz w:val="22"/>
          <w:szCs w:val="22"/>
          <w:lang w:eastAsia="es-MX"/>
        </w:rPr>
        <w:t xml:space="preserve">La pregunta sobre el tamaño del grupo con el que las personas se sentirían cómodas para asociarse indica una preferencia por escalas pequeñas o intermedias: se valora especialmente la asociación con dos o tres vecinos cercanos o con la manzana completa, mientras que la disposición a involucrarse en asociaciones más amplias que integren varias manzanas es considerablemente menor. Además, un número relevante de personas señala no saber con qué tamaño de grupo se sentiría cómoda. Esto puede interpretarse como una </w:t>
      </w:r>
      <w:r w:rsidRPr="005862B7">
        <w:rPr>
          <w:rFonts w:ascii="Dosis" w:hAnsi="Dosis"/>
          <w:sz w:val="22"/>
          <w:szCs w:val="22"/>
          <w:lang w:eastAsia="es-MX"/>
        </w:rPr>
        <w:lastRenderedPageBreak/>
        <w:t xml:space="preserve">señal de que la asociatividad, en la práctica, todavía es más una idea que una experiencia concreta. Desde una perspectiva operativa, sugiere que los pilotos o experiencias iniciales de asociación deberían estructurarse a escala de </w:t>
      </w:r>
      <w:proofErr w:type="spellStart"/>
      <w:r w:rsidRPr="005862B7">
        <w:rPr>
          <w:rFonts w:ascii="Dosis" w:hAnsi="Dosis"/>
          <w:sz w:val="22"/>
          <w:szCs w:val="22"/>
          <w:lang w:eastAsia="es-MX"/>
        </w:rPr>
        <w:t>microgrupos</w:t>
      </w:r>
      <w:proofErr w:type="spellEnd"/>
      <w:r w:rsidRPr="005862B7">
        <w:rPr>
          <w:rFonts w:ascii="Dosis" w:hAnsi="Dosis"/>
          <w:sz w:val="22"/>
          <w:szCs w:val="22"/>
          <w:lang w:eastAsia="es-MX"/>
        </w:rPr>
        <w:t xml:space="preserve"> o manzana, antes de pensar en figuras de mayor complejidad.</w:t>
      </w:r>
    </w:p>
    <w:p w14:paraId="3A5EBC77" w14:textId="6FC56E15" w:rsidR="00EB767F" w:rsidRPr="005862B7" w:rsidRDefault="00EB767F" w:rsidP="00F42F71">
      <w:pPr>
        <w:jc w:val="both"/>
        <w:rPr>
          <w:rFonts w:ascii="Dosis" w:hAnsi="Dosis"/>
          <w:sz w:val="22"/>
          <w:szCs w:val="22"/>
          <w:lang w:eastAsia="es-MX"/>
        </w:rPr>
      </w:pPr>
      <w:r w:rsidRPr="00F42F71">
        <w:rPr>
          <w:noProof/>
        </w:rPr>
        <w:drawing>
          <wp:inline distT="0" distB="0" distL="0" distR="0" wp14:anchorId="041D0E59" wp14:editId="5AC1F67E">
            <wp:extent cx="5612130" cy="2650490"/>
            <wp:effectExtent l="0" t="0" r="13970" b="16510"/>
            <wp:docPr id="1647060082" name="Gráfico 1">
              <a:extLst xmlns:a="http://schemas.openxmlformats.org/drawingml/2006/main">
                <a:ext uri="{FF2B5EF4-FFF2-40B4-BE49-F238E27FC236}">
                  <a16:creationId xmlns:a16="http://schemas.microsoft.com/office/drawing/2014/main" id="{189C9581-1858-2F4A-9E69-7EF9B734A9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B52D52B" w14:textId="77777777" w:rsidR="005862B7" w:rsidRPr="00F42F71" w:rsidRDefault="005862B7" w:rsidP="00F42F71">
      <w:pPr>
        <w:jc w:val="both"/>
        <w:rPr>
          <w:rFonts w:ascii="Dosis" w:hAnsi="Dosis"/>
          <w:sz w:val="22"/>
          <w:szCs w:val="22"/>
          <w:lang w:eastAsia="es-MX"/>
        </w:rPr>
      </w:pPr>
      <w:r w:rsidRPr="005862B7">
        <w:rPr>
          <w:rFonts w:ascii="Dosis" w:hAnsi="Dosis"/>
          <w:sz w:val="22"/>
          <w:szCs w:val="22"/>
          <w:lang w:eastAsia="es-MX"/>
        </w:rPr>
        <w:t>Es importante considerar aquí la heterogeneidad de actividades económicas presentes en los predios. No todos los hogares combinan vivienda con la misma intensidad de actividad productiva, ni se benefician de igual manera de la localización en la zona aeroportuaria. Algunos predios tienen un uso predominantemente residencial, mientras que otros integran comercios de distinta escala, talleres u otros servicios. Esta diversidad implica que los incentivos para asociarse —y los temores frente a la pérdida de ingresos o a la interrupción de actividades económicas— son diferentes. Un reto clave para los solucionadores será precisamente diseñar mecanismos de asociatividad que permitan articular intereses diversos dentro de una misma estructura de proyecto, evitando suponer que la “unidad de análisis” es un propietario homogéneo.</w:t>
      </w:r>
    </w:p>
    <w:p w14:paraId="5D9368BC" w14:textId="77777777" w:rsidR="00A95247" w:rsidRPr="00F42F71" w:rsidRDefault="00A95247" w:rsidP="00F42F71">
      <w:pPr>
        <w:jc w:val="both"/>
        <w:rPr>
          <w:rFonts w:ascii="Dosis" w:hAnsi="Dosis"/>
          <w:sz w:val="22"/>
          <w:szCs w:val="22"/>
          <w:lang w:eastAsia="es-MX"/>
        </w:rPr>
      </w:pPr>
      <w:r w:rsidRPr="00F42F71">
        <w:rPr>
          <w:rFonts w:ascii="Dosis" w:hAnsi="Dosis"/>
          <w:sz w:val="22"/>
          <w:szCs w:val="22"/>
          <w:lang w:eastAsia="es-MX"/>
        </w:rPr>
        <w:t>En cuanto al tiempo requerido para tomar una decisión informada, una proporción considerable de participantes indica que podría decidir en menos de un año, especialmente dentro del rango de menos de seis meses hasta un año. No obstante, también hay un número significativo de personas que requiere más tiempo o que simplemente no sabe. Esto refleja niveles diferentes de certeza, información y capacidad de proyección. Para el diseño del proceso de intervención, esta evidencia sugiere que no es conveniente plantear plazos excesivamente cortos que generen presión, pero tampoco procesos tan largos que refuercen la sensación de indefinición. Un horizonte temporal claro, con etapas y momentos específicos de información, deliberación y decisión, podría ayudar a reducir la ansiedad y la inercia.</w:t>
      </w:r>
    </w:p>
    <w:p w14:paraId="7BF0BD19" w14:textId="61BF7BC2" w:rsidR="00A95247" w:rsidRPr="00F42F71" w:rsidRDefault="00A95247" w:rsidP="00F42F71">
      <w:pPr>
        <w:jc w:val="both"/>
        <w:rPr>
          <w:rFonts w:ascii="Dosis" w:hAnsi="Dosis"/>
          <w:sz w:val="22"/>
          <w:szCs w:val="22"/>
          <w:lang w:eastAsia="es-MX"/>
        </w:rPr>
      </w:pPr>
      <w:r w:rsidRPr="00F42F71">
        <w:rPr>
          <w:noProof/>
        </w:rPr>
        <w:lastRenderedPageBreak/>
        <w:drawing>
          <wp:inline distT="0" distB="0" distL="0" distR="0" wp14:anchorId="73AFAE67" wp14:editId="45D59C99">
            <wp:extent cx="5400000" cy="2700000"/>
            <wp:effectExtent l="0" t="0" r="10795" b="18415"/>
            <wp:docPr id="1642285807" name="Gráfico 1">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1820321" w14:textId="77777777" w:rsidR="00601498" w:rsidRPr="00601498" w:rsidRDefault="00601498" w:rsidP="00F42F71">
      <w:pPr>
        <w:jc w:val="both"/>
        <w:rPr>
          <w:rFonts w:ascii="Dosis" w:hAnsi="Dosis"/>
          <w:b/>
          <w:bCs/>
          <w:sz w:val="22"/>
          <w:szCs w:val="22"/>
          <w:lang w:eastAsia="es-MX"/>
        </w:rPr>
      </w:pPr>
      <w:r w:rsidRPr="00601498">
        <w:rPr>
          <w:rFonts w:ascii="Dosis" w:hAnsi="Dosis"/>
          <w:b/>
          <w:bCs/>
          <w:sz w:val="22"/>
          <w:szCs w:val="22"/>
          <w:lang w:eastAsia="es-MX"/>
        </w:rPr>
        <w:t>Uso de herramientas digitales y enfoque socio–técnico del proceso</w:t>
      </w:r>
    </w:p>
    <w:p w14:paraId="1C25DDE5" w14:textId="77777777" w:rsidR="008014EB" w:rsidRPr="00F42F71" w:rsidRDefault="008014EB" w:rsidP="00F42F71">
      <w:pPr>
        <w:jc w:val="both"/>
        <w:rPr>
          <w:rFonts w:ascii="Dosis" w:hAnsi="Dosis"/>
          <w:sz w:val="22"/>
          <w:szCs w:val="22"/>
          <w:lang w:eastAsia="es-MX"/>
        </w:rPr>
      </w:pPr>
      <w:r w:rsidRPr="008014EB">
        <w:rPr>
          <w:rFonts w:ascii="Dosis" w:hAnsi="Dosis"/>
          <w:sz w:val="22"/>
          <w:szCs w:val="22"/>
          <w:lang w:eastAsia="es-MX"/>
        </w:rPr>
        <w:t>En relación con el uso de herramientas digitales, los resultados muestran una apertura significativa hacia este tipo de instrumentos para apoyar la toma de decisiones. Una proporción importante de las personas encuestadas se declara cómoda usando una herramienta digital, aunque muchas de ellas señalan que preferirían contar con apoyo para utilizarla y complementarla con reuniones presenciales. Esto refuerza la conclusión de que la solución tecnológica no puede concebirse como sustituto de los espacios de encuentro, sino como complemento.</w:t>
      </w:r>
    </w:p>
    <w:p w14:paraId="6D169DC8" w14:textId="64AF8EB2" w:rsidR="008014EB" w:rsidRPr="008014EB" w:rsidRDefault="008014EB" w:rsidP="00F42F71">
      <w:pPr>
        <w:jc w:val="both"/>
        <w:rPr>
          <w:rFonts w:ascii="Dosis" w:hAnsi="Dosis"/>
          <w:sz w:val="22"/>
          <w:szCs w:val="22"/>
          <w:lang w:eastAsia="es-MX"/>
        </w:rPr>
      </w:pPr>
      <w:r w:rsidRPr="00F42F71">
        <w:rPr>
          <w:noProof/>
        </w:rPr>
        <w:drawing>
          <wp:inline distT="0" distB="0" distL="0" distR="0" wp14:anchorId="3E022FFC" wp14:editId="33DAAF76">
            <wp:extent cx="5612130" cy="1979930"/>
            <wp:effectExtent l="0" t="0" r="13970" b="13970"/>
            <wp:docPr id="1240893205" name="Gráfico 1">
              <a:extLst xmlns:a="http://schemas.openxmlformats.org/drawingml/2006/main">
                <a:ext uri="{FF2B5EF4-FFF2-40B4-BE49-F238E27FC236}">
                  <a16:creationId xmlns:a16="http://schemas.microsoft.com/office/drawing/2014/main" id="{5E5E7113-D24A-F44C-9F24-7B26CC1C18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A73A4B2" w14:textId="121EFEA1" w:rsidR="00601498" w:rsidRPr="00F42F71" w:rsidRDefault="008014EB" w:rsidP="00F42F71">
      <w:pPr>
        <w:jc w:val="both"/>
        <w:rPr>
          <w:rFonts w:ascii="Dosis" w:hAnsi="Dosis"/>
          <w:sz w:val="22"/>
          <w:szCs w:val="22"/>
          <w:lang w:eastAsia="es-MX"/>
        </w:rPr>
      </w:pPr>
      <w:r w:rsidRPr="008014EB">
        <w:rPr>
          <w:rFonts w:ascii="Dosis" w:hAnsi="Dosis"/>
          <w:sz w:val="22"/>
          <w:szCs w:val="22"/>
          <w:lang w:eastAsia="es-MX"/>
        </w:rPr>
        <w:t xml:space="preserve">En otras palabras, el proceso requiere un enfoque socio–técnico: una herramienta digital robusta y comprensible, que represente con claridad los escenarios posibles, los beneficios y las obligaciones, acompañada de facilitación humana, talleres y espacios colectivos donde se puedan aclarar dudas, </w:t>
      </w:r>
      <w:r w:rsidRPr="008014EB">
        <w:rPr>
          <w:rFonts w:ascii="Dosis" w:hAnsi="Dosis"/>
          <w:sz w:val="22"/>
          <w:szCs w:val="22"/>
          <w:lang w:eastAsia="es-MX"/>
        </w:rPr>
        <w:lastRenderedPageBreak/>
        <w:t>contrastar interpretaciones y construir confianza. Para que la herramienta sea realmente útil, será necesario cuidar el lenguaje, evitar tecnicismos, explicar con ejemplos concretos cada escenario de decisión y habilitar funciones que permitan comparar de manera sencilla distintas opciones de permanencia, asociatividad o relocalización. Asimismo, dado que algunas personas manifestaron dudas sobre el tiempo necesario para tomar decisiones informadas, será importante que la herramienta presente no solo “situaciones ideales”, sino también tiempos y secuencias realistas, evitando alimentar expectativas que luego no puedan cumplirse.</w:t>
      </w:r>
    </w:p>
    <w:p w14:paraId="3989952C" w14:textId="77777777" w:rsidR="002B6D9E" w:rsidRPr="002B6D9E" w:rsidRDefault="002B6D9E" w:rsidP="00F42F71">
      <w:pPr>
        <w:jc w:val="both"/>
        <w:rPr>
          <w:rFonts w:ascii="Dosis" w:hAnsi="Dosis"/>
          <w:b/>
          <w:bCs/>
          <w:sz w:val="22"/>
          <w:szCs w:val="22"/>
          <w:lang w:eastAsia="es-MX"/>
        </w:rPr>
      </w:pPr>
      <w:r w:rsidRPr="002B6D9E">
        <w:rPr>
          <w:rFonts w:ascii="Dosis" w:hAnsi="Dosis"/>
          <w:b/>
          <w:bCs/>
          <w:sz w:val="22"/>
          <w:szCs w:val="22"/>
          <w:lang w:eastAsia="es-MX"/>
        </w:rPr>
        <w:t>Barreras, riesgos percibidos y protecciones requeridas</w:t>
      </w:r>
    </w:p>
    <w:p w14:paraId="6CD34FE1" w14:textId="77777777" w:rsidR="00520474" w:rsidRPr="00F42F71" w:rsidRDefault="00520474" w:rsidP="00F42F71">
      <w:pPr>
        <w:jc w:val="both"/>
        <w:rPr>
          <w:rFonts w:ascii="Dosis" w:hAnsi="Dosis"/>
          <w:sz w:val="22"/>
          <w:szCs w:val="22"/>
          <w:lang w:eastAsia="es-MX"/>
        </w:rPr>
      </w:pPr>
      <w:r w:rsidRPr="00520474">
        <w:rPr>
          <w:rFonts w:ascii="Dosis" w:hAnsi="Dosis"/>
          <w:sz w:val="22"/>
          <w:szCs w:val="22"/>
          <w:lang w:eastAsia="es-MX"/>
        </w:rPr>
        <w:t>La sección dedicada a barreras y limitaciones percibidas es especialmente reveladora. Entre las dificultades que los moradores identifican con mayor fuerza se encuentran la falta de información suficiente, la falta de claridad en las condiciones y reglas, la necesidad de esperar largos periodos para obtener beneficios, la dependencia de los ingresos actuales derivados del predio y el temor a que el proyecto no se concrete o no resulte rentable. A estas se suman la influencia de la opinión de la familia, la falta de experiencia en negocios inmobiliarios y el miedo a desplazarse sin encontrar un lugar adecuado o asequible donde continuar su proyecto de vida.</w:t>
      </w:r>
    </w:p>
    <w:p w14:paraId="3D807A77" w14:textId="15532921" w:rsidR="00520474" w:rsidRPr="00520474" w:rsidRDefault="0059105F" w:rsidP="00F42F71">
      <w:pPr>
        <w:jc w:val="both"/>
        <w:rPr>
          <w:rFonts w:ascii="Dosis" w:hAnsi="Dosis"/>
          <w:sz w:val="22"/>
          <w:szCs w:val="22"/>
          <w:lang w:eastAsia="es-MX"/>
        </w:rPr>
      </w:pPr>
      <w:r>
        <w:rPr>
          <w:noProof/>
        </w:rPr>
        <w:drawing>
          <wp:inline distT="0" distB="0" distL="0" distR="0" wp14:anchorId="325D9A5A" wp14:editId="4D8E04E6">
            <wp:extent cx="5671185" cy="2344366"/>
            <wp:effectExtent l="0" t="0" r="18415" b="18415"/>
            <wp:docPr id="684471355" name="Gráfico 1">
              <a:extLst xmlns:a="http://schemas.openxmlformats.org/drawingml/2006/main">
                <a:ext uri="{FF2B5EF4-FFF2-40B4-BE49-F238E27FC236}">
                  <a16:creationId xmlns:a16="http://schemas.microsoft.com/office/drawing/2014/main" id="{34FBAC27-94D0-6B48-9CA6-C26F9E1C85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1AC6C71" w14:textId="77777777" w:rsidR="00520474" w:rsidRPr="00520474" w:rsidRDefault="00520474" w:rsidP="00F42F71">
      <w:pPr>
        <w:jc w:val="both"/>
        <w:rPr>
          <w:rFonts w:ascii="Dosis" w:hAnsi="Dosis"/>
          <w:sz w:val="22"/>
          <w:szCs w:val="22"/>
          <w:lang w:eastAsia="es-MX"/>
        </w:rPr>
      </w:pPr>
      <w:r w:rsidRPr="00520474">
        <w:rPr>
          <w:rFonts w:ascii="Dosis" w:hAnsi="Dosis"/>
          <w:sz w:val="22"/>
          <w:szCs w:val="22"/>
          <w:lang w:eastAsia="es-MX"/>
        </w:rPr>
        <w:t xml:space="preserve">En conjunto, estas barreras configuran un escenario en el que la principal tarea no es únicamente informar, sino reducir el riesgo percibido y redistribuirlo de manera más equitativa entre los distintos actores. La población siente que podría verse llamada a tomar decisiones con un impacto muy fuerte en su vida cotidiana y en su patrimonio, a partir de información incompleta y en un contexto económico vulnerable, frente a actores que manejan mejor las reglas del mercado y del urbanismo. Por tanto, cualquier instrumento —incluido el software propuesto— deberá incorporar mecanismos que hagan visible el riesgo, expliciten cómo se comparte entre moradores, empresas e instituciones, y ofrezcan garantías verificables sobre tiempos, ingresos, reubicación y cumplimiento de compromisos. En este punto, el rol de las entidades </w:t>
      </w:r>
      <w:r w:rsidRPr="00520474">
        <w:rPr>
          <w:rFonts w:ascii="Dosis" w:hAnsi="Dosis"/>
          <w:sz w:val="22"/>
          <w:szCs w:val="22"/>
          <w:lang w:eastAsia="es-MX"/>
        </w:rPr>
        <w:lastRenderedPageBreak/>
        <w:t xml:space="preserve">públicas (SPLO, </w:t>
      </w:r>
      <w:proofErr w:type="spellStart"/>
      <w:r w:rsidRPr="00520474">
        <w:rPr>
          <w:rFonts w:ascii="Dosis" w:hAnsi="Dosis"/>
          <w:sz w:val="22"/>
          <w:szCs w:val="22"/>
          <w:lang w:eastAsia="es-MX"/>
        </w:rPr>
        <w:t>RenoBo</w:t>
      </w:r>
      <w:proofErr w:type="spellEnd"/>
      <w:r w:rsidRPr="00520474">
        <w:rPr>
          <w:rFonts w:ascii="Dosis" w:hAnsi="Dosis"/>
          <w:sz w:val="22"/>
          <w:szCs w:val="22"/>
          <w:lang w:eastAsia="es-MX"/>
        </w:rPr>
        <w:t xml:space="preserve"> y la Secretaría Distrital de Planeación) es central como garantes de que las reglas se cumplan y de que las familias no asuman solas las consecuencias de eventuales fallas de mercado o retrasos en los proyectos.</w:t>
      </w:r>
    </w:p>
    <w:p w14:paraId="3AFB4AE8" w14:textId="77777777" w:rsidR="00CC2A85" w:rsidRPr="00CC2A85" w:rsidRDefault="00CC2A85" w:rsidP="00F42F71">
      <w:pPr>
        <w:jc w:val="both"/>
        <w:rPr>
          <w:rFonts w:ascii="Dosis" w:hAnsi="Dosis"/>
          <w:b/>
          <w:bCs/>
          <w:sz w:val="22"/>
          <w:szCs w:val="22"/>
          <w:lang w:eastAsia="es-MX"/>
        </w:rPr>
      </w:pPr>
      <w:r w:rsidRPr="00CC2A85">
        <w:rPr>
          <w:rFonts w:ascii="Dosis" w:hAnsi="Dosis"/>
          <w:b/>
          <w:bCs/>
          <w:sz w:val="22"/>
          <w:szCs w:val="22"/>
          <w:lang w:eastAsia="es-MX"/>
        </w:rPr>
        <w:t>Prioridades personales y actitud frente al cambio</w:t>
      </w:r>
    </w:p>
    <w:p w14:paraId="5953D2B6" w14:textId="77777777" w:rsidR="00CF291C" w:rsidRPr="00F42F71" w:rsidRDefault="00CF291C" w:rsidP="00F42F71">
      <w:pPr>
        <w:jc w:val="both"/>
        <w:rPr>
          <w:rFonts w:ascii="Dosis" w:hAnsi="Dosis"/>
          <w:sz w:val="22"/>
          <w:szCs w:val="22"/>
          <w:lang w:eastAsia="es-MX"/>
        </w:rPr>
      </w:pPr>
      <w:r w:rsidRPr="00CF291C">
        <w:rPr>
          <w:rFonts w:ascii="Dosis" w:hAnsi="Dosis"/>
          <w:sz w:val="22"/>
          <w:szCs w:val="22"/>
          <w:lang w:eastAsia="es-MX"/>
        </w:rPr>
        <w:t>Las preguntas relativas a prioridades personales y actitud frente al cambio permiten entender la escala subjetiva en la que se juegan las decisiones. Las personas otorgan alta importancia a asegurar ingresos y estabilidad económica, a contar con claridad jurídica sobre el predio, a mantener o mejorar la calidad de la vivienda, a conservar la posibilidad de realizar actividades económicas y a mantenerse cerca de sus redes de apoyo. Se configura así una combinación de prioridades económicas, jurídicas, habitacionales y relacionales que no pueden tratarse por separado en el diseño de soluciones.</w:t>
      </w:r>
    </w:p>
    <w:p w14:paraId="212B05DF" w14:textId="493DAB56" w:rsidR="006C5C08" w:rsidRPr="00CF291C" w:rsidRDefault="006C5C08" w:rsidP="00F42F71">
      <w:pPr>
        <w:jc w:val="both"/>
        <w:rPr>
          <w:rFonts w:ascii="Dosis" w:hAnsi="Dosis"/>
          <w:sz w:val="22"/>
          <w:szCs w:val="22"/>
          <w:lang w:eastAsia="es-MX"/>
        </w:rPr>
      </w:pPr>
      <w:r w:rsidRPr="00F42F71">
        <w:rPr>
          <w:noProof/>
        </w:rPr>
        <w:drawing>
          <wp:inline distT="0" distB="0" distL="0" distR="0" wp14:anchorId="5DE2CBD2" wp14:editId="6138E3DB">
            <wp:extent cx="5612130" cy="2650490"/>
            <wp:effectExtent l="0" t="0" r="13970" b="16510"/>
            <wp:docPr id="176723053" name="Gráfico 1">
              <a:extLst xmlns:a="http://schemas.openxmlformats.org/drawingml/2006/main">
                <a:ext uri="{FF2B5EF4-FFF2-40B4-BE49-F238E27FC236}">
                  <a16:creationId xmlns:a16="http://schemas.microsoft.com/office/drawing/2014/main" id="{2BA65CE7-2AE8-DC45-912D-6AA8622422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FC77E2F" w14:textId="77777777" w:rsidR="00CF291C" w:rsidRPr="00CF291C" w:rsidRDefault="00CF291C" w:rsidP="00F42F71">
      <w:pPr>
        <w:jc w:val="both"/>
        <w:rPr>
          <w:rFonts w:ascii="Dosis" w:hAnsi="Dosis"/>
          <w:sz w:val="22"/>
          <w:szCs w:val="22"/>
          <w:lang w:eastAsia="es-MX"/>
        </w:rPr>
      </w:pPr>
      <w:r w:rsidRPr="00CF291C">
        <w:rPr>
          <w:rFonts w:ascii="Dosis" w:hAnsi="Dosis"/>
          <w:sz w:val="22"/>
          <w:szCs w:val="22"/>
          <w:lang w:eastAsia="es-MX"/>
        </w:rPr>
        <w:t>En las preguntas que exploran la disposición a considerar cambios importantes se observa una predominancia de posiciones de desacuerdo o fuerte desacuerdo con afirmaciones que plantean transformaciones bruscas o poco controladas. Esto indica que, aunque la comunidad reconoce oportunidades y valora posibles mejoras, existe una resistencia significativa a cambios percibidos como abruptos, impuestos o insuficientemente explicados. El cambio se percibe como posible, pero bajo la condición de ser gradual, acompañado y respaldado por garantías efectivas de que las familias podrán mantener estabilidad económica, continuidad de sus redes de apoyo y claridad sobre sus derechos.</w:t>
      </w:r>
    </w:p>
    <w:p w14:paraId="2340CAC3" w14:textId="77777777" w:rsidR="00CF291C" w:rsidRPr="00CF291C" w:rsidRDefault="00CF291C" w:rsidP="00F42F71">
      <w:pPr>
        <w:jc w:val="both"/>
        <w:rPr>
          <w:rFonts w:ascii="Dosis" w:hAnsi="Dosis"/>
          <w:sz w:val="22"/>
          <w:szCs w:val="22"/>
          <w:lang w:eastAsia="es-MX"/>
        </w:rPr>
      </w:pPr>
      <w:r w:rsidRPr="00CF291C">
        <w:rPr>
          <w:rFonts w:ascii="Dosis" w:hAnsi="Dosis"/>
          <w:sz w:val="22"/>
          <w:szCs w:val="22"/>
          <w:lang w:eastAsia="es-MX"/>
        </w:rPr>
        <w:t xml:space="preserve">De cara a la presentación visual de estos resultados, será recomendable que las gráficas finales incorporen porcentajes claros y coherentes con el número total de personas participantes, y que se armonicen las escalas de respuesta para facilitar su lectura. Esto no modifica las tendencias cualitativas descritas, pero sí </w:t>
      </w:r>
      <w:r w:rsidRPr="00CF291C">
        <w:rPr>
          <w:rFonts w:ascii="Dosis" w:hAnsi="Dosis"/>
          <w:sz w:val="22"/>
          <w:szCs w:val="22"/>
          <w:lang w:eastAsia="es-MX"/>
        </w:rPr>
        <w:lastRenderedPageBreak/>
        <w:t>contribuirá a que los solucionadores puedan interpretar con precisión el peso relativo de cada tipo de respuesta.</w:t>
      </w:r>
    </w:p>
    <w:p w14:paraId="4B40DCCC" w14:textId="77777777" w:rsidR="006765B5" w:rsidRPr="006765B5" w:rsidRDefault="006765B5" w:rsidP="00F42F71">
      <w:pPr>
        <w:jc w:val="both"/>
        <w:rPr>
          <w:rFonts w:ascii="Dosis" w:hAnsi="Dosis"/>
          <w:b/>
          <w:bCs/>
          <w:sz w:val="22"/>
          <w:szCs w:val="22"/>
          <w:lang w:eastAsia="es-MX"/>
        </w:rPr>
      </w:pPr>
      <w:r w:rsidRPr="006765B5">
        <w:rPr>
          <w:rFonts w:ascii="Dosis" w:hAnsi="Dosis"/>
          <w:b/>
          <w:bCs/>
          <w:sz w:val="22"/>
          <w:szCs w:val="22"/>
          <w:lang w:eastAsia="es-MX"/>
        </w:rPr>
        <w:t>Ejercicio de fichas de preferencias y patrones de decisión</w:t>
      </w:r>
    </w:p>
    <w:p w14:paraId="12634A2A" w14:textId="35D2A832" w:rsidR="006765B5" w:rsidRPr="00F42F71" w:rsidRDefault="006765B5" w:rsidP="00F42F71">
      <w:pPr>
        <w:jc w:val="both"/>
        <w:rPr>
          <w:rFonts w:ascii="Dosis" w:hAnsi="Dosis"/>
          <w:sz w:val="22"/>
          <w:szCs w:val="22"/>
          <w:lang w:eastAsia="es-MX"/>
        </w:rPr>
      </w:pPr>
      <w:r w:rsidRPr="006765B5">
        <w:rPr>
          <w:rFonts w:ascii="Dosis" w:hAnsi="Dosis"/>
          <w:sz w:val="22"/>
          <w:szCs w:val="22"/>
          <w:lang w:eastAsia="es-MX"/>
        </w:rPr>
        <w:t xml:space="preserve">De manera transversal, el ejercicio de fichas de preferencias ofrece información adicional sobre cómo razonan las personas cuando se les presentan escenarios comparativos. </w:t>
      </w:r>
      <w:r w:rsidR="007346A3">
        <w:rPr>
          <w:rFonts w:ascii="Dosis" w:hAnsi="Dosis"/>
          <w:sz w:val="22"/>
          <w:szCs w:val="22"/>
          <w:lang w:eastAsia="es-MX"/>
        </w:rPr>
        <w:t xml:space="preserve">A </w:t>
      </w:r>
      <w:r w:rsidRPr="006765B5">
        <w:rPr>
          <w:rFonts w:ascii="Dosis" w:hAnsi="Dosis"/>
          <w:sz w:val="22"/>
          <w:szCs w:val="22"/>
          <w:lang w:eastAsia="es-MX"/>
        </w:rPr>
        <w:t>medida que avanzan las fichas, se observa una concentración creciente de respuestas en ciertas opciones, lo que indica la existencia de criterios internos relativamente consistentes. En términos cualitativos, esto refuerza la idea de que los hogares evalúan simultáneamente múltiples dimensiones —seguridad económica, posibilidad de permanecer en el entorno, claridad jurídica y distribución de beneficios— y tienden a privilegiar combinaciones que perciben como más equilibradas entre estos factores.</w:t>
      </w:r>
    </w:p>
    <w:p w14:paraId="0E108CEB" w14:textId="1218E6A8" w:rsidR="006765B5" w:rsidRPr="00F42F71" w:rsidRDefault="006765B5" w:rsidP="00F42F71">
      <w:pPr>
        <w:jc w:val="both"/>
        <w:rPr>
          <w:rFonts w:ascii="Dosis" w:hAnsi="Dosis"/>
          <w:sz w:val="22"/>
          <w:szCs w:val="22"/>
          <w:lang w:eastAsia="es-MX"/>
        </w:rPr>
      </w:pPr>
      <w:r w:rsidRPr="00F42F71">
        <w:rPr>
          <w:noProof/>
        </w:rPr>
        <w:drawing>
          <wp:inline distT="0" distB="0" distL="0" distR="0" wp14:anchorId="605576BF" wp14:editId="664D424B">
            <wp:extent cx="5612130" cy="2650490"/>
            <wp:effectExtent l="0" t="0" r="13970" b="16510"/>
            <wp:docPr id="895482736" name="Gráfico 1">
              <a:extLst xmlns:a="http://schemas.openxmlformats.org/drawingml/2006/main">
                <a:ext uri="{FF2B5EF4-FFF2-40B4-BE49-F238E27FC236}">
                  <a16:creationId xmlns:a16="http://schemas.microsoft.com/office/drawing/2014/main" id="{52C0CA90-43DD-B44C-9BFE-1EAFA61F95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19311B0" w14:textId="77777777" w:rsidR="00F04C09" w:rsidRPr="00F04C09" w:rsidRDefault="00F04C09" w:rsidP="00F04C09">
      <w:pPr>
        <w:jc w:val="both"/>
        <w:rPr>
          <w:rFonts w:ascii="Dosis" w:hAnsi="Dosis"/>
          <w:sz w:val="22"/>
          <w:szCs w:val="22"/>
          <w:lang w:val="es-CO" w:eastAsia="es-MX"/>
        </w:rPr>
      </w:pPr>
      <w:r w:rsidRPr="00F04C09">
        <w:rPr>
          <w:rFonts w:ascii="Dosis" w:hAnsi="Dosis"/>
          <w:sz w:val="22"/>
          <w:szCs w:val="22"/>
          <w:lang w:val="es-CO" w:eastAsia="es-MX"/>
        </w:rPr>
        <w:t>El ejercicio de preferencias declaradas planteó a las personas participantes una serie de decisiones hipotéticas entre dos alternativas de inversión o uso económico del predio (opciones A y B), en seis fichas consecutivas. Cada ficha combinaba tres dimensiones clave: el monto y el plazo de la ganancia esperada, el nivel de riesgo (expresado como probabilidad de obtener la ganancia) y el tipo de control sobre las decisiones (individual, compartido con la comunidad o delegado a administradores externos). De este modo, la serie de decisiones permitió observar no solo qué montos resultan atractivos para los moradores, sino, sobre todo, cómo ponderan la relación entre riesgo, tiempo y control frente a esquemas de inversión individual, comunitaria o administrada por terceros.</w:t>
      </w:r>
    </w:p>
    <w:p w14:paraId="321A7AC9" w14:textId="77777777" w:rsidR="00F04C09" w:rsidRPr="00F04C09" w:rsidRDefault="00F04C09" w:rsidP="00F04C09">
      <w:pPr>
        <w:jc w:val="both"/>
        <w:rPr>
          <w:rFonts w:ascii="Dosis" w:hAnsi="Dosis"/>
          <w:sz w:val="22"/>
          <w:szCs w:val="22"/>
          <w:lang w:val="es-CO" w:eastAsia="es-MX"/>
        </w:rPr>
      </w:pPr>
      <w:r w:rsidRPr="00F04C09">
        <w:rPr>
          <w:rFonts w:ascii="Dosis" w:hAnsi="Dosis"/>
          <w:sz w:val="22"/>
          <w:szCs w:val="22"/>
          <w:lang w:val="es-CO" w:eastAsia="es-MX"/>
        </w:rPr>
        <w:t xml:space="preserve">En la Ficha 1, la tensión central se sitúa entre una ganancia relativamente baja pero segura y de corto plazo (700.000 pesos en un año, riesgo bajo y control individual, similar a un depósito a término) y una ganancia </w:t>
      </w:r>
      <w:r w:rsidRPr="00F04C09">
        <w:rPr>
          <w:rFonts w:ascii="Dosis" w:hAnsi="Dosis"/>
          <w:sz w:val="22"/>
          <w:szCs w:val="22"/>
          <w:lang w:val="es-CO" w:eastAsia="es-MX"/>
        </w:rPr>
        <w:lastRenderedPageBreak/>
        <w:t>muy alta pero lejana en el tiempo (10 millones en cinco años), con un nivel de riesgo alto (60 % de certeza) y decisiones delegadas a administradores (ejemplo: mini bodegas en arriendo). Las respuestas muestran que, aunque el monto de la alternativa B es considerablemente mayor, existe una inclinación relevante hacia la alternativa A. Esta preferencia indica que, en un contexto de incertidumbre y vulnerabilidad económica, la combinación de certeza alta y control individual pesa más que la promesa de una ganancia muy elevada pero asociada a riesgo alto, plazo largo y pérdida de control sobre la gestión del negocio. La desconfianza frente a esquemas delegados y el temor a no ver materializados los beneficios se traducen, en la práctica, en una disposición limitada a “apostar fuerte” en plazos largos, incluso cuando el retorno potencial parece atractivo sobre el papel.</w:t>
      </w:r>
    </w:p>
    <w:p w14:paraId="3CE52F6F" w14:textId="77777777" w:rsidR="00F04C09" w:rsidRPr="00F04C09" w:rsidRDefault="00F04C09" w:rsidP="00F04C09">
      <w:pPr>
        <w:jc w:val="both"/>
        <w:rPr>
          <w:rFonts w:ascii="Dosis" w:hAnsi="Dosis"/>
          <w:sz w:val="22"/>
          <w:szCs w:val="22"/>
          <w:lang w:val="es-CO" w:eastAsia="es-MX"/>
        </w:rPr>
      </w:pPr>
      <w:r w:rsidRPr="00F04C09">
        <w:rPr>
          <w:rFonts w:ascii="Dosis" w:hAnsi="Dosis"/>
          <w:sz w:val="22"/>
          <w:szCs w:val="22"/>
          <w:lang w:val="es-CO" w:eastAsia="es-MX"/>
        </w:rPr>
        <w:t>Las Fichas 2 y 3 introducen alternativas B con niveles de riesgo medios (80 % de certeza), plazos intermedios (tres años) y decisiones compartidas con la comunidad, asociadas a ejemplos concretos como una lavandería comunitaria o un café de barrio. En ambos casos, la alternativa A mantiene la lógica de ganancia menor, plazo corto y riesgo prácticamente nulo, gestionada de manera individual (fondos conservadores o depósitos a término fijo). Las respuestas tienden a repartirse más entre A y B que en la Ficha 1, lo que sugiere que la combinación de riesgo medio, plazos algo más acotados y control compartido con la comunidad resulta menos amenazante que los esquemas de riesgo alto y decisiones delegadas a terceros. Sin embargo, no se observa una inclinación masiva hacia B: una parte importante de las personas sigue prefiriendo la seguridad del rendimiento modesto pero asegurado. Esta ambivalencia es coherente con lo observado en otras secciones del cuestionario: existe interés en proyectos asociativos y productivos de pequeña escala, pero siempre bajo la condición de que el riesgo sea acotado y de que los beneficios sean claros y relativamente cercanos en el tiempo.</w:t>
      </w:r>
    </w:p>
    <w:p w14:paraId="3F599AED" w14:textId="77777777" w:rsidR="00F04C09" w:rsidRPr="00F04C09" w:rsidRDefault="00F04C09" w:rsidP="00F04C09">
      <w:pPr>
        <w:jc w:val="both"/>
        <w:rPr>
          <w:rFonts w:ascii="Dosis" w:hAnsi="Dosis"/>
          <w:sz w:val="22"/>
          <w:szCs w:val="22"/>
          <w:lang w:val="es-CO" w:eastAsia="es-MX"/>
        </w:rPr>
      </w:pPr>
      <w:r w:rsidRPr="00F04C09">
        <w:rPr>
          <w:rFonts w:ascii="Dosis" w:hAnsi="Dosis"/>
          <w:sz w:val="22"/>
          <w:szCs w:val="22"/>
          <w:lang w:val="es-CO" w:eastAsia="es-MX"/>
        </w:rPr>
        <w:t xml:space="preserve">A partir de la Ficha 4 se aprecia un cambio más nítido en las preferencias: la alternativa A (520.000 pesos en seis meses, riesgo bajo, control individual, equivalente a un certificado de depósito) concentra una mayoría muy clara frente a la alternativa B (4,8 millones en tres años, riesgo medio, control compartido, ejemplo: lavandería con </w:t>
      </w:r>
      <w:proofErr w:type="spellStart"/>
      <w:r w:rsidRPr="00F04C09">
        <w:rPr>
          <w:rFonts w:ascii="Dosis" w:hAnsi="Dosis"/>
          <w:sz w:val="22"/>
          <w:szCs w:val="22"/>
          <w:lang w:val="es-CO" w:eastAsia="es-MX"/>
        </w:rPr>
        <w:t>planchaduría</w:t>
      </w:r>
      <w:proofErr w:type="spellEnd"/>
      <w:r w:rsidRPr="00F04C09">
        <w:rPr>
          <w:rFonts w:ascii="Dosis" w:hAnsi="Dosis"/>
          <w:sz w:val="22"/>
          <w:szCs w:val="22"/>
          <w:lang w:val="es-CO" w:eastAsia="es-MX"/>
        </w:rPr>
        <w:t>). Algo similar ocurre en las Fichas 5 y 6, donde, a pesar de que las alternativas B ofrecen montos muy superiores (11,5 millones en cinco años o 5,4 millones en tres años, con ejemplos como un centro de fotocopiado o una papelería asociativa), el aumento del plazo, del riesgo y, en el caso de la Ficha 5, la necesidad de delegar decisiones en administradores externos, parece reforzar una preferencia marcada por las opciones de menor riesgo, plazo corto y control individual. En estas fichas finales la consistencia de las elecciones a favor de A es mucho más evidente, incluso cuando el diferencial de ganancia nominal entre A y B es muy grande.</w:t>
      </w:r>
    </w:p>
    <w:p w14:paraId="6B995BA0" w14:textId="77777777" w:rsidR="00F04C09" w:rsidRPr="00F04C09" w:rsidRDefault="00F04C09" w:rsidP="00F04C09">
      <w:pPr>
        <w:jc w:val="both"/>
        <w:rPr>
          <w:rFonts w:ascii="Dosis" w:hAnsi="Dosis"/>
          <w:sz w:val="22"/>
          <w:szCs w:val="22"/>
          <w:lang w:val="es-CO" w:eastAsia="es-MX"/>
        </w:rPr>
      </w:pPr>
      <w:r w:rsidRPr="00F04C09">
        <w:rPr>
          <w:rFonts w:ascii="Dosis" w:hAnsi="Dosis"/>
          <w:sz w:val="22"/>
          <w:szCs w:val="22"/>
          <w:lang w:val="es-CO" w:eastAsia="es-MX"/>
        </w:rPr>
        <w:t xml:space="preserve">Leído en conjunto, el patrón que se observa a lo largo de las seis fichas no es el de una población indiferente entre alternativas, sino el de hogares que aplican criterios relativamente estables: privilegian la seguridad sobre la ganancia potencial, prefieren plazos cortos que les permitan mantener capacidad de reacción y </w:t>
      </w:r>
      <w:r w:rsidRPr="00F04C09">
        <w:rPr>
          <w:rFonts w:ascii="Dosis" w:hAnsi="Dosis"/>
          <w:sz w:val="22"/>
          <w:szCs w:val="22"/>
          <w:lang w:val="es-CO" w:eastAsia="es-MX"/>
        </w:rPr>
        <w:lastRenderedPageBreak/>
        <w:t>valoran de manera especial el control individual sobre las decisiones, por encima de esquemas delegados a terceros. Los proyectos asociativos de escala barrial, cuando combinan riesgo medio, plazos razonables y ejemplos comprensibles (como la lavandería o el café de barrio), generan cierto interés y logran competir con las alternativas individuales seguras, pero no desplazan completamente la preferencia por la certeza. En cambio, las propuestas que exigen delegar las decisiones en administradores o mantener inversiones de largo plazo con riesgo alto tienden a ser vistas con mayor recelo, aun cuando, en términos abstractos, ofrezcan ganancias significativamente superiores.</w:t>
      </w:r>
    </w:p>
    <w:p w14:paraId="755CE7AE" w14:textId="77777777" w:rsidR="00F04C09" w:rsidRPr="00F04C09" w:rsidRDefault="00F04C09" w:rsidP="00F04C09">
      <w:pPr>
        <w:jc w:val="both"/>
        <w:rPr>
          <w:rFonts w:ascii="Dosis" w:hAnsi="Dosis"/>
          <w:sz w:val="22"/>
          <w:szCs w:val="22"/>
          <w:lang w:val="es-CO" w:eastAsia="es-MX"/>
        </w:rPr>
      </w:pPr>
      <w:r w:rsidRPr="00F04C09">
        <w:rPr>
          <w:rFonts w:ascii="Dosis" w:hAnsi="Dosis"/>
          <w:sz w:val="22"/>
          <w:szCs w:val="22"/>
          <w:lang w:val="es-CO" w:eastAsia="es-MX"/>
        </w:rPr>
        <w:t>Este comportamiento es coherente con las barreras y prioridades identificadas en otras partes del cuestionario. La dependencia de los ingresos actuales del predio, el temor a que los proyectos no se concreten o no sean rentables, la falta de experiencia en negocios inmobiliarios y la alta valoración de la estabilidad económica y residencial generan un contexto en el que las familias no están dispuestas a asumir pérdidas potenciales grandes, ni a renunciar fácilmente al control directo de los recursos que comprometen. Desde la perspectiva del diseño del programa y de la herramienta de simulación, el ejercicio de preferencias declaradas confirma que las propuestas que probablemente tendrán mejor recepción serán aquellas que combinen retornos razonables con niveles de riesgo bajos o medios, plazos que no se perciban como excesivamente largos y esquemas de control que mantengan a los hogares como actores centrales de la decisión, incluso cuando se trate de iniciativas asociativas.</w:t>
      </w:r>
    </w:p>
    <w:p w14:paraId="07E110C0" w14:textId="77777777" w:rsidR="00C71235" w:rsidRPr="00C71235" w:rsidRDefault="00C71235" w:rsidP="00F42F71">
      <w:pPr>
        <w:jc w:val="both"/>
        <w:rPr>
          <w:rFonts w:ascii="Dosis" w:hAnsi="Dosis"/>
          <w:sz w:val="22"/>
          <w:szCs w:val="22"/>
          <w:lang w:eastAsia="es-MX"/>
        </w:rPr>
      </w:pPr>
      <w:r w:rsidRPr="00C71235">
        <w:rPr>
          <w:rFonts w:ascii="Dosis" w:hAnsi="Dosis"/>
          <w:sz w:val="22"/>
          <w:szCs w:val="22"/>
          <w:lang w:eastAsia="es-MX"/>
        </w:rPr>
        <w:t>Para los equipos solucionadores, varios mensajes emergen con fuerza. Primero, cualquier propuesta deberá evitar lecturas binarias de “vender o quedarse” y, en su lugar, desplegar rutas diferenciadas que articulen opciones de permanencia mejorada y de relocalización protegida, alineadas con el POT y la normativa de protección de moradores. Segundo, será clave trabajar con escalas de asociatividad manejables (</w:t>
      </w:r>
      <w:proofErr w:type="spellStart"/>
      <w:r w:rsidRPr="00C71235">
        <w:rPr>
          <w:rFonts w:ascii="Dosis" w:hAnsi="Dosis"/>
          <w:sz w:val="22"/>
          <w:szCs w:val="22"/>
          <w:lang w:eastAsia="es-MX"/>
        </w:rPr>
        <w:t>microgrupos</w:t>
      </w:r>
      <w:proofErr w:type="spellEnd"/>
      <w:r w:rsidRPr="00C71235">
        <w:rPr>
          <w:rFonts w:ascii="Dosis" w:hAnsi="Dosis"/>
          <w:sz w:val="22"/>
          <w:szCs w:val="22"/>
          <w:lang w:eastAsia="es-MX"/>
        </w:rPr>
        <w:t>, manzana) y con instrumentos que reconozcan la diversidad de actividades económicas presentes en los predios. Tercero, la herramienta digital que se diseñe debe entenderse como parte de un ecosistema más amplio de acompañamiento socio–técnico, en el que los talleres, las sesiones de explicación y el rol de las entidades públicas como garantes de derechos son tan importantes como los algoritmos de simulación.</w:t>
      </w:r>
    </w:p>
    <w:p w14:paraId="060271E3" w14:textId="6FF7DB0E" w:rsidR="00C71235" w:rsidRPr="006765B5" w:rsidRDefault="00C71235" w:rsidP="00F42F71">
      <w:pPr>
        <w:jc w:val="both"/>
        <w:rPr>
          <w:rFonts w:ascii="Dosis" w:hAnsi="Dosis"/>
          <w:sz w:val="22"/>
          <w:szCs w:val="22"/>
          <w:lang w:eastAsia="es-MX"/>
        </w:rPr>
      </w:pPr>
      <w:r w:rsidRPr="00C71235">
        <w:rPr>
          <w:rFonts w:ascii="Dosis" w:hAnsi="Dosis"/>
          <w:sz w:val="22"/>
          <w:szCs w:val="22"/>
          <w:lang w:eastAsia="es-MX"/>
        </w:rPr>
        <w:t xml:space="preserve">Finalmente, el propio proceso de aplicación del cuestionario y de realización de la sesión ofrece aprendizajes metodológicos. La necesidad de apoyar la lectura y el diligenciamiento de algunas preguntas, las dudas sobre ciertos enunciados y la importancia de contextualizar permanentemente el ejercicio muestran que aún hay espacio para simplificar el instrumento, reforzar las explicaciones y mejorar la articulación entre los distintos momentos de la sesión (conversación grupal, fichas, cuestionario individual). Incorporar estas mejoras metodológicas en las siguientes sesiones contribuirá a que la información recogida sea más robusta y a que las comunidades se sientan realmente reconocidas como </w:t>
      </w:r>
      <w:proofErr w:type="spellStart"/>
      <w:r w:rsidRPr="00C71235">
        <w:rPr>
          <w:rFonts w:ascii="Dosis" w:hAnsi="Dosis"/>
          <w:sz w:val="22"/>
          <w:szCs w:val="22"/>
          <w:lang w:eastAsia="es-MX"/>
        </w:rPr>
        <w:t>co</w:t>
      </w:r>
      <w:proofErr w:type="spellEnd"/>
      <w:r w:rsidRPr="00C71235">
        <w:rPr>
          <w:rFonts w:ascii="Dosis" w:hAnsi="Dosis"/>
          <w:sz w:val="22"/>
          <w:szCs w:val="22"/>
          <w:lang w:eastAsia="es-MX"/>
        </w:rPr>
        <w:t>–productoras de las soluciones y no solo como fuente de datos.</w:t>
      </w:r>
    </w:p>
    <w:sectPr w:rsidR="00C71235" w:rsidRPr="006765B5">
      <w:headerReference w:type="default" r:id="rId2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8052DC" w14:textId="77777777" w:rsidR="00575369" w:rsidRDefault="00575369" w:rsidP="00916457">
      <w:pPr>
        <w:spacing w:after="0" w:line="240" w:lineRule="auto"/>
      </w:pPr>
      <w:r>
        <w:separator/>
      </w:r>
    </w:p>
  </w:endnote>
  <w:endnote w:type="continuationSeparator" w:id="0">
    <w:p w14:paraId="1E8A0BC0" w14:textId="77777777" w:rsidR="00575369" w:rsidRDefault="00575369" w:rsidP="009164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notTrueType/>
    <w:pitch w:val="variable"/>
    <w:sig w:usb0="800002E7" w:usb1="2AC7FCFF" w:usb2="00000012" w:usb3="00000000" w:csb0="0002009F" w:csb1="00000000"/>
  </w:font>
  <w:font w:name="Dosis">
    <w:panose1 w:val="00000000000000000000"/>
    <w:charset w:val="00"/>
    <w:family w:val="auto"/>
    <w:pitch w:val="variable"/>
    <w:sig w:usb0="A00000BF" w:usb1="4000207B"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F0DD4" w14:textId="77777777" w:rsidR="00575369" w:rsidRDefault="00575369" w:rsidP="00916457">
      <w:pPr>
        <w:spacing w:after="0" w:line="240" w:lineRule="auto"/>
      </w:pPr>
      <w:r>
        <w:separator/>
      </w:r>
    </w:p>
  </w:footnote>
  <w:footnote w:type="continuationSeparator" w:id="0">
    <w:p w14:paraId="13BEA094" w14:textId="77777777" w:rsidR="00575369" w:rsidRDefault="00575369" w:rsidP="009164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F7221" w14:textId="24362AE7" w:rsidR="00916457" w:rsidRDefault="00916457">
    <w:pPr>
      <w:pStyle w:val="Encabezado"/>
    </w:pPr>
    <w:r>
      <w:rPr>
        <w:noProof/>
      </w:rPr>
      <w:drawing>
        <wp:anchor distT="0" distB="0" distL="114300" distR="114300" simplePos="0" relativeHeight="251658240" behindDoc="0" locked="0" layoutInCell="1" allowOverlap="1" wp14:anchorId="4D18ACCB" wp14:editId="08574EF2">
          <wp:simplePos x="0" y="0"/>
          <wp:positionH relativeFrom="column">
            <wp:posOffset>-1080135</wp:posOffset>
          </wp:positionH>
          <wp:positionV relativeFrom="paragraph">
            <wp:posOffset>-434340</wp:posOffset>
          </wp:positionV>
          <wp:extent cx="7752715" cy="1592580"/>
          <wp:effectExtent l="0" t="0" r="0" b="0"/>
          <wp:wrapSquare wrapText="bothSides"/>
          <wp:docPr id="16457702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770208" name="Imagen 1"/>
                  <pic:cNvPicPr/>
                </pic:nvPicPr>
                <pic:blipFill>
                  <a:blip r:embed="rId1">
                    <a:extLst>
                      <a:ext uri="{28A0092B-C50C-407E-A947-70E740481C1C}">
                        <a14:useLocalDpi xmlns:a14="http://schemas.microsoft.com/office/drawing/2010/main" val="0"/>
                      </a:ext>
                    </a:extLst>
                  </a:blip>
                  <a:stretch>
                    <a:fillRect/>
                  </a:stretch>
                </pic:blipFill>
                <pic:spPr>
                  <a:xfrm>
                    <a:off x="0" y="0"/>
                    <a:ext cx="7752715" cy="15925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B030D7C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A68E12B8"/>
    <w:lvl w:ilvl="0">
      <w:start w:val="1"/>
      <w:numFmt w:val="bullet"/>
      <w:pStyle w:val="Listaconvietas3"/>
      <w:lvlText w:val=""/>
      <w:lvlJc w:val="left"/>
      <w:pPr>
        <w:tabs>
          <w:tab w:val="num" w:pos="1080"/>
        </w:tabs>
        <w:ind w:left="1080" w:hanging="360"/>
      </w:pPr>
      <w:rPr>
        <w:rFonts w:ascii="Symbol" w:hAnsi="Symbol" w:hint="default"/>
      </w:rPr>
    </w:lvl>
  </w:abstractNum>
  <w:num w:numId="1" w16cid:durableId="1332102501">
    <w:abstractNumId w:val="1"/>
  </w:num>
  <w:num w:numId="2" w16cid:durableId="16792307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6457"/>
    <w:rsid w:val="00002DF2"/>
    <w:rsid w:val="00046F18"/>
    <w:rsid w:val="00054549"/>
    <w:rsid w:val="000623BF"/>
    <w:rsid w:val="00092943"/>
    <w:rsid w:val="000952A0"/>
    <w:rsid w:val="00096000"/>
    <w:rsid w:val="000C5797"/>
    <w:rsid w:val="000D59D5"/>
    <w:rsid w:val="000E7E07"/>
    <w:rsid w:val="000F6FD5"/>
    <w:rsid w:val="0011369A"/>
    <w:rsid w:val="00127B54"/>
    <w:rsid w:val="00155CBD"/>
    <w:rsid w:val="001A52E3"/>
    <w:rsid w:val="001A5E04"/>
    <w:rsid w:val="00210DF6"/>
    <w:rsid w:val="0021158E"/>
    <w:rsid w:val="002316F2"/>
    <w:rsid w:val="00235BDD"/>
    <w:rsid w:val="00244439"/>
    <w:rsid w:val="00263037"/>
    <w:rsid w:val="00286EE6"/>
    <w:rsid w:val="00294B32"/>
    <w:rsid w:val="002956F5"/>
    <w:rsid w:val="002B6D9E"/>
    <w:rsid w:val="002C0745"/>
    <w:rsid w:val="002C41AE"/>
    <w:rsid w:val="002D1C73"/>
    <w:rsid w:val="002E3FD6"/>
    <w:rsid w:val="002E7342"/>
    <w:rsid w:val="003007E3"/>
    <w:rsid w:val="00330F38"/>
    <w:rsid w:val="00351C14"/>
    <w:rsid w:val="0035354E"/>
    <w:rsid w:val="0036012C"/>
    <w:rsid w:val="00397498"/>
    <w:rsid w:val="003B1D71"/>
    <w:rsid w:val="003F0BD9"/>
    <w:rsid w:val="004154C4"/>
    <w:rsid w:val="00426329"/>
    <w:rsid w:val="00485404"/>
    <w:rsid w:val="00520474"/>
    <w:rsid w:val="0057158A"/>
    <w:rsid w:val="00571E63"/>
    <w:rsid w:val="00575369"/>
    <w:rsid w:val="005862B7"/>
    <w:rsid w:val="0059105F"/>
    <w:rsid w:val="005B5066"/>
    <w:rsid w:val="005D3E90"/>
    <w:rsid w:val="005F1E6A"/>
    <w:rsid w:val="005F7EED"/>
    <w:rsid w:val="00601498"/>
    <w:rsid w:val="006765B5"/>
    <w:rsid w:val="00695010"/>
    <w:rsid w:val="00696EFE"/>
    <w:rsid w:val="006C5C08"/>
    <w:rsid w:val="00703D83"/>
    <w:rsid w:val="00731302"/>
    <w:rsid w:val="007346A3"/>
    <w:rsid w:val="0076260D"/>
    <w:rsid w:val="00787014"/>
    <w:rsid w:val="007E6FAF"/>
    <w:rsid w:val="008014EB"/>
    <w:rsid w:val="00801B3E"/>
    <w:rsid w:val="008153D8"/>
    <w:rsid w:val="00855E01"/>
    <w:rsid w:val="00861208"/>
    <w:rsid w:val="008747C1"/>
    <w:rsid w:val="00884D42"/>
    <w:rsid w:val="00893832"/>
    <w:rsid w:val="00902E11"/>
    <w:rsid w:val="009101E5"/>
    <w:rsid w:val="009119AF"/>
    <w:rsid w:val="00916457"/>
    <w:rsid w:val="009335A0"/>
    <w:rsid w:val="00962A30"/>
    <w:rsid w:val="009722F2"/>
    <w:rsid w:val="00980816"/>
    <w:rsid w:val="0099570A"/>
    <w:rsid w:val="009B6B3B"/>
    <w:rsid w:val="009F09F6"/>
    <w:rsid w:val="00A15DF4"/>
    <w:rsid w:val="00A36D4C"/>
    <w:rsid w:val="00A95247"/>
    <w:rsid w:val="00AE1909"/>
    <w:rsid w:val="00B53C6A"/>
    <w:rsid w:val="00B80523"/>
    <w:rsid w:val="00B839FA"/>
    <w:rsid w:val="00BA0757"/>
    <w:rsid w:val="00BE2905"/>
    <w:rsid w:val="00BE5745"/>
    <w:rsid w:val="00C22ABD"/>
    <w:rsid w:val="00C22CE4"/>
    <w:rsid w:val="00C44875"/>
    <w:rsid w:val="00C71235"/>
    <w:rsid w:val="00C7515A"/>
    <w:rsid w:val="00C9074E"/>
    <w:rsid w:val="00CA10AC"/>
    <w:rsid w:val="00CB23CA"/>
    <w:rsid w:val="00CC2A85"/>
    <w:rsid w:val="00CC6427"/>
    <w:rsid w:val="00CD4429"/>
    <w:rsid w:val="00CF291C"/>
    <w:rsid w:val="00CF7DD9"/>
    <w:rsid w:val="00D0254B"/>
    <w:rsid w:val="00D47CC3"/>
    <w:rsid w:val="00D61D78"/>
    <w:rsid w:val="00D74362"/>
    <w:rsid w:val="00DA496D"/>
    <w:rsid w:val="00DA6E51"/>
    <w:rsid w:val="00DE1B96"/>
    <w:rsid w:val="00DF7AF2"/>
    <w:rsid w:val="00E06752"/>
    <w:rsid w:val="00E27D5F"/>
    <w:rsid w:val="00E313D2"/>
    <w:rsid w:val="00E34332"/>
    <w:rsid w:val="00E64AFE"/>
    <w:rsid w:val="00E84099"/>
    <w:rsid w:val="00EB767F"/>
    <w:rsid w:val="00F04C09"/>
    <w:rsid w:val="00F14D6C"/>
    <w:rsid w:val="00F15E7C"/>
    <w:rsid w:val="00F42F71"/>
    <w:rsid w:val="00FC33F6"/>
    <w:rsid w:val="00FD2D46"/>
    <w:rsid w:val="01BFDE51"/>
    <w:rsid w:val="049AA177"/>
    <w:rsid w:val="0593EE2E"/>
    <w:rsid w:val="05E6865E"/>
    <w:rsid w:val="068DBCE0"/>
    <w:rsid w:val="0917453B"/>
    <w:rsid w:val="0D24AD7C"/>
    <w:rsid w:val="0E132816"/>
    <w:rsid w:val="0EDC2671"/>
    <w:rsid w:val="196692D2"/>
    <w:rsid w:val="1BCA7EE5"/>
    <w:rsid w:val="211238F8"/>
    <w:rsid w:val="2328D7CC"/>
    <w:rsid w:val="241D793E"/>
    <w:rsid w:val="291385F5"/>
    <w:rsid w:val="2AD23F41"/>
    <w:rsid w:val="2B2309F8"/>
    <w:rsid w:val="2C1E4782"/>
    <w:rsid w:val="2EA0C5BF"/>
    <w:rsid w:val="32B3E296"/>
    <w:rsid w:val="32FA2FB7"/>
    <w:rsid w:val="33773ADC"/>
    <w:rsid w:val="34F4B379"/>
    <w:rsid w:val="3570C127"/>
    <w:rsid w:val="37920690"/>
    <w:rsid w:val="37D56F6C"/>
    <w:rsid w:val="37DD1DFB"/>
    <w:rsid w:val="3BB3E406"/>
    <w:rsid w:val="3F1A591C"/>
    <w:rsid w:val="3F3B35F2"/>
    <w:rsid w:val="4426842A"/>
    <w:rsid w:val="4484786C"/>
    <w:rsid w:val="4491D37A"/>
    <w:rsid w:val="452160E4"/>
    <w:rsid w:val="46B844D6"/>
    <w:rsid w:val="49C09274"/>
    <w:rsid w:val="4E3712D0"/>
    <w:rsid w:val="4F271508"/>
    <w:rsid w:val="5030FCAE"/>
    <w:rsid w:val="52264953"/>
    <w:rsid w:val="54FEA863"/>
    <w:rsid w:val="59DB1C50"/>
    <w:rsid w:val="5AED570B"/>
    <w:rsid w:val="5AED7982"/>
    <w:rsid w:val="5E3D407C"/>
    <w:rsid w:val="5F81CC53"/>
    <w:rsid w:val="61F14141"/>
    <w:rsid w:val="68C97994"/>
    <w:rsid w:val="6B8576A8"/>
    <w:rsid w:val="6EA81CD4"/>
    <w:rsid w:val="7A93D359"/>
    <w:rsid w:val="7CFFB4B4"/>
    <w:rsid w:val="7E01DB56"/>
    <w:rsid w:val="7E09B161"/>
    <w:rsid w:val="7EAD1E06"/>
    <w:rsid w:val="7F39DECC"/>
    <w:rsid w:val="7FC5794A"/>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50456F"/>
  <w15:chartTrackingRefBased/>
  <w15:docId w15:val="{55CCE463-58B2-4247-85F5-E7BC9FE6C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ES"/>
    </w:rPr>
  </w:style>
  <w:style w:type="paragraph" w:styleId="Ttulo1">
    <w:name w:val="heading 1"/>
    <w:basedOn w:val="Normal"/>
    <w:next w:val="Normal"/>
    <w:link w:val="Ttulo1Car"/>
    <w:uiPriority w:val="9"/>
    <w:qFormat/>
    <w:rsid w:val="0091645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91645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91645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91645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91645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916457"/>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91645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91645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916457"/>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16457"/>
    <w:rPr>
      <w:rFonts w:asciiTheme="majorHAnsi" w:eastAsiaTheme="majorEastAsia" w:hAnsiTheme="majorHAnsi" w:cstheme="majorBidi"/>
      <w:color w:val="0F4761" w:themeColor="accent1" w:themeShade="BF"/>
      <w:sz w:val="40"/>
      <w:szCs w:val="40"/>
      <w:lang w:val="es-ES"/>
    </w:rPr>
  </w:style>
  <w:style w:type="character" w:customStyle="1" w:styleId="Ttulo2Car">
    <w:name w:val="Título 2 Car"/>
    <w:basedOn w:val="Fuentedeprrafopredeter"/>
    <w:link w:val="Ttulo2"/>
    <w:uiPriority w:val="9"/>
    <w:semiHidden/>
    <w:rsid w:val="00916457"/>
    <w:rPr>
      <w:rFonts w:asciiTheme="majorHAnsi" w:eastAsiaTheme="majorEastAsia" w:hAnsiTheme="majorHAnsi" w:cstheme="majorBidi"/>
      <w:color w:val="0F4761" w:themeColor="accent1" w:themeShade="BF"/>
      <w:sz w:val="32"/>
      <w:szCs w:val="32"/>
      <w:lang w:val="es-ES"/>
    </w:rPr>
  </w:style>
  <w:style w:type="character" w:customStyle="1" w:styleId="Ttulo3Car">
    <w:name w:val="Título 3 Car"/>
    <w:basedOn w:val="Fuentedeprrafopredeter"/>
    <w:link w:val="Ttulo3"/>
    <w:uiPriority w:val="9"/>
    <w:semiHidden/>
    <w:rsid w:val="00916457"/>
    <w:rPr>
      <w:rFonts w:eastAsiaTheme="majorEastAsia" w:cstheme="majorBidi"/>
      <w:color w:val="0F4761" w:themeColor="accent1" w:themeShade="BF"/>
      <w:sz w:val="28"/>
      <w:szCs w:val="28"/>
      <w:lang w:val="es-ES"/>
    </w:rPr>
  </w:style>
  <w:style w:type="character" w:customStyle="1" w:styleId="Ttulo4Car">
    <w:name w:val="Título 4 Car"/>
    <w:basedOn w:val="Fuentedeprrafopredeter"/>
    <w:link w:val="Ttulo4"/>
    <w:uiPriority w:val="9"/>
    <w:semiHidden/>
    <w:rsid w:val="00916457"/>
    <w:rPr>
      <w:rFonts w:eastAsiaTheme="majorEastAsia" w:cstheme="majorBidi"/>
      <w:i/>
      <w:iCs/>
      <w:color w:val="0F4761" w:themeColor="accent1" w:themeShade="BF"/>
      <w:lang w:val="es-ES"/>
    </w:rPr>
  </w:style>
  <w:style w:type="character" w:customStyle="1" w:styleId="Ttulo5Car">
    <w:name w:val="Título 5 Car"/>
    <w:basedOn w:val="Fuentedeprrafopredeter"/>
    <w:link w:val="Ttulo5"/>
    <w:uiPriority w:val="9"/>
    <w:semiHidden/>
    <w:rsid w:val="00916457"/>
    <w:rPr>
      <w:rFonts w:eastAsiaTheme="majorEastAsia" w:cstheme="majorBidi"/>
      <w:color w:val="0F4761" w:themeColor="accent1" w:themeShade="BF"/>
      <w:lang w:val="es-ES"/>
    </w:rPr>
  </w:style>
  <w:style w:type="character" w:customStyle="1" w:styleId="Ttulo6Car">
    <w:name w:val="Título 6 Car"/>
    <w:basedOn w:val="Fuentedeprrafopredeter"/>
    <w:link w:val="Ttulo6"/>
    <w:uiPriority w:val="9"/>
    <w:semiHidden/>
    <w:rsid w:val="00916457"/>
    <w:rPr>
      <w:rFonts w:eastAsiaTheme="majorEastAsia" w:cstheme="majorBidi"/>
      <w:i/>
      <w:iCs/>
      <w:color w:val="595959" w:themeColor="text1" w:themeTint="A6"/>
      <w:lang w:val="es-ES"/>
    </w:rPr>
  </w:style>
  <w:style w:type="character" w:customStyle="1" w:styleId="Ttulo7Car">
    <w:name w:val="Título 7 Car"/>
    <w:basedOn w:val="Fuentedeprrafopredeter"/>
    <w:link w:val="Ttulo7"/>
    <w:uiPriority w:val="9"/>
    <w:semiHidden/>
    <w:rsid w:val="00916457"/>
    <w:rPr>
      <w:rFonts w:eastAsiaTheme="majorEastAsia" w:cstheme="majorBidi"/>
      <w:color w:val="595959" w:themeColor="text1" w:themeTint="A6"/>
      <w:lang w:val="es-ES"/>
    </w:rPr>
  </w:style>
  <w:style w:type="character" w:customStyle="1" w:styleId="Ttulo8Car">
    <w:name w:val="Título 8 Car"/>
    <w:basedOn w:val="Fuentedeprrafopredeter"/>
    <w:link w:val="Ttulo8"/>
    <w:uiPriority w:val="9"/>
    <w:semiHidden/>
    <w:rsid w:val="00916457"/>
    <w:rPr>
      <w:rFonts w:eastAsiaTheme="majorEastAsia" w:cstheme="majorBidi"/>
      <w:i/>
      <w:iCs/>
      <w:color w:val="272727" w:themeColor="text1" w:themeTint="D8"/>
      <w:lang w:val="es-ES"/>
    </w:rPr>
  </w:style>
  <w:style w:type="character" w:customStyle="1" w:styleId="Ttulo9Car">
    <w:name w:val="Título 9 Car"/>
    <w:basedOn w:val="Fuentedeprrafopredeter"/>
    <w:link w:val="Ttulo9"/>
    <w:uiPriority w:val="9"/>
    <w:semiHidden/>
    <w:rsid w:val="00916457"/>
    <w:rPr>
      <w:rFonts w:eastAsiaTheme="majorEastAsia" w:cstheme="majorBidi"/>
      <w:color w:val="272727" w:themeColor="text1" w:themeTint="D8"/>
      <w:lang w:val="es-ES"/>
    </w:rPr>
  </w:style>
  <w:style w:type="paragraph" w:styleId="Ttulo">
    <w:name w:val="Title"/>
    <w:basedOn w:val="Normal"/>
    <w:next w:val="Normal"/>
    <w:link w:val="TtuloCar"/>
    <w:uiPriority w:val="10"/>
    <w:qFormat/>
    <w:rsid w:val="0091645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916457"/>
    <w:rPr>
      <w:rFonts w:asciiTheme="majorHAnsi" w:eastAsiaTheme="majorEastAsia" w:hAnsiTheme="majorHAnsi" w:cstheme="majorBidi"/>
      <w:spacing w:val="-10"/>
      <w:kern w:val="28"/>
      <w:sz w:val="56"/>
      <w:szCs w:val="56"/>
      <w:lang w:val="es-ES"/>
    </w:rPr>
  </w:style>
  <w:style w:type="paragraph" w:styleId="Subttulo">
    <w:name w:val="Subtitle"/>
    <w:basedOn w:val="Normal"/>
    <w:next w:val="Normal"/>
    <w:link w:val="SubttuloCar"/>
    <w:uiPriority w:val="11"/>
    <w:qFormat/>
    <w:rsid w:val="0091645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916457"/>
    <w:rPr>
      <w:rFonts w:eastAsiaTheme="majorEastAsia" w:cstheme="majorBidi"/>
      <w:color w:val="595959" w:themeColor="text1" w:themeTint="A6"/>
      <w:spacing w:val="15"/>
      <w:sz w:val="28"/>
      <w:szCs w:val="28"/>
      <w:lang w:val="es-ES"/>
    </w:rPr>
  </w:style>
  <w:style w:type="paragraph" w:styleId="Cita">
    <w:name w:val="Quote"/>
    <w:basedOn w:val="Normal"/>
    <w:next w:val="Normal"/>
    <w:link w:val="CitaCar"/>
    <w:uiPriority w:val="29"/>
    <w:qFormat/>
    <w:rsid w:val="00916457"/>
    <w:pPr>
      <w:spacing w:before="160"/>
      <w:jc w:val="center"/>
    </w:pPr>
    <w:rPr>
      <w:i/>
      <w:iCs/>
      <w:color w:val="404040" w:themeColor="text1" w:themeTint="BF"/>
    </w:rPr>
  </w:style>
  <w:style w:type="character" w:customStyle="1" w:styleId="CitaCar">
    <w:name w:val="Cita Car"/>
    <w:basedOn w:val="Fuentedeprrafopredeter"/>
    <w:link w:val="Cita"/>
    <w:uiPriority w:val="29"/>
    <w:rsid w:val="00916457"/>
    <w:rPr>
      <w:i/>
      <w:iCs/>
      <w:color w:val="404040" w:themeColor="text1" w:themeTint="BF"/>
      <w:lang w:val="es-ES"/>
    </w:rPr>
  </w:style>
  <w:style w:type="paragraph" w:styleId="Prrafodelista">
    <w:name w:val="List Paragraph"/>
    <w:basedOn w:val="Normal"/>
    <w:uiPriority w:val="34"/>
    <w:qFormat/>
    <w:rsid w:val="00916457"/>
    <w:pPr>
      <w:ind w:left="720"/>
      <w:contextualSpacing/>
    </w:pPr>
  </w:style>
  <w:style w:type="character" w:styleId="nfasisintenso">
    <w:name w:val="Intense Emphasis"/>
    <w:basedOn w:val="Fuentedeprrafopredeter"/>
    <w:uiPriority w:val="21"/>
    <w:qFormat/>
    <w:rsid w:val="00916457"/>
    <w:rPr>
      <w:i/>
      <w:iCs/>
      <w:color w:val="0F4761" w:themeColor="accent1" w:themeShade="BF"/>
    </w:rPr>
  </w:style>
  <w:style w:type="paragraph" w:styleId="Citadestacada">
    <w:name w:val="Intense Quote"/>
    <w:basedOn w:val="Normal"/>
    <w:next w:val="Normal"/>
    <w:link w:val="CitadestacadaCar"/>
    <w:uiPriority w:val="30"/>
    <w:qFormat/>
    <w:rsid w:val="0091645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916457"/>
    <w:rPr>
      <w:i/>
      <w:iCs/>
      <w:color w:val="0F4761" w:themeColor="accent1" w:themeShade="BF"/>
      <w:lang w:val="es-ES"/>
    </w:rPr>
  </w:style>
  <w:style w:type="character" w:styleId="Referenciaintensa">
    <w:name w:val="Intense Reference"/>
    <w:basedOn w:val="Fuentedeprrafopredeter"/>
    <w:uiPriority w:val="32"/>
    <w:qFormat/>
    <w:rsid w:val="00916457"/>
    <w:rPr>
      <w:b/>
      <w:bCs/>
      <w:smallCaps/>
      <w:color w:val="0F4761" w:themeColor="accent1" w:themeShade="BF"/>
      <w:spacing w:val="5"/>
    </w:rPr>
  </w:style>
  <w:style w:type="paragraph" w:styleId="Encabezado">
    <w:name w:val="header"/>
    <w:basedOn w:val="Normal"/>
    <w:link w:val="EncabezadoCar"/>
    <w:uiPriority w:val="99"/>
    <w:unhideWhenUsed/>
    <w:rsid w:val="0091645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16457"/>
    <w:rPr>
      <w:lang w:val="es-ES"/>
    </w:rPr>
  </w:style>
  <w:style w:type="paragraph" w:styleId="Piedepgina">
    <w:name w:val="footer"/>
    <w:basedOn w:val="Normal"/>
    <w:link w:val="PiedepginaCar"/>
    <w:uiPriority w:val="99"/>
    <w:unhideWhenUsed/>
    <w:rsid w:val="0091645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16457"/>
    <w:rPr>
      <w:lang w:val="es-ES"/>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lang w:val="es-ES"/>
    </w:rPr>
  </w:style>
  <w:style w:type="character" w:styleId="Refdecomentario">
    <w:name w:val="annotation reference"/>
    <w:basedOn w:val="Fuentedeprrafopredeter"/>
    <w:uiPriority w:val="99"/>
    <w:semiHidden/>
    <w:unhideWhenUsed/>
    <w:rPr>
      <w:sz w:val="16"/>
      <w:szCs w:val="16"/>
    </w:rPr>
  </w:style>
  <w:style w:type="paragraph" w:styleId="Revisin">
    <w:name w:val="Revision"/>
    <w:hidden/>
    <w:uiPriority w:val="99"/>
    <w:semiHidden/>
    <w:rsid w:val="00330F38"/>
    <w:pPr>
      <w:spacing w:after="0" w:line="240" w:lineRule="auto"/>
    </w:pPr>
    <w:rPr>
      <w:lang w:val="es-ES"/>
    </w:rPr>
  </w:style>
  <w:style w:type="paragraph" w:styleId="Listaconvietas3">
    <w:name w:val="List Bullet 3"/>
    <w:basedOn w:val="Normal"/>
    <w:uiPriority w:val="99"/>
    <w:unhideWhenUsed/>
    <w:rsid w:val="00902E11"/>
    <w:pPr>
      <w:numPr>
        <w:numId w:val="1"/>
      </w:numPr>
      <w:tabs>
        <w:tab w:val="clear" w:pos="1080"/>
      </w:tabs>
      <w:spacing w:after="200" w:line="276" w:lineRule="auto"/>
      <w:ind w:left="0" w:firstLine="0"/>
      <w:contextualSpacing/>
    </w:pPr>
    <w:rPr>
      <w:rFonts w:eastAsiaTheme="minorEastAsia"/>
      <w:kern w:val="0"/>
      <w:sz w:val="22"/>
      <w:szCs w:val="22"/>
      <w:lang w:val="en-US"/>
      <w14:ligatures w14:val="none"/>
    </w:rPr>
  </w:style>
  <w:style w:type="paragraph" w:styleId="Listaconnmeros2">
    <w:name w:val="List Number 2"/>
    <w:basedOn w:val="Normal"/>
    <w:uiPriority w:val="99"/>
    <w:unhideWhenUsed/>
    <w:rsid w:val="00902E11"/>
    <w:pPr>
      <w:numPr>
        <w:numId w:val="2"/>
      </w:numPr>
      <w:tabs>
        <w:tab w:val="clear" w:pos="643"/>
        <w:tab w:val="num" w:pos="720"/>
      </w:tabs>
      <w:spacing w:after="200" w:line="276" w:lineRule="auto"/>
      <w:ind w:left="0" w:firstLine="0"/>
      <w:contextualSpacing/>
    </w:pPr>
    <w:rPr>
      <w:rFonts w:eastAsiaTheme="minorEastAsia"/>
      <w:kern w:val="0"/>
      <w:sz w:val="22"/>
      <w:szCs w:val="22"/>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chart" Target="charts/chart15.xml"/><Relationship Id="rId3" Type="http://schemas.openxmlformats.org/officeDocument/2006/relationships/customXml" Target="../customXml/item3.xml"/><Relationship Id="rId21" Type="http://schemas.openxmlformats.org/officeDocument/2006/relationships/chart" Target="charts/chart10.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chart" Target="charts/chart6.xml"/><Relationship Id="rId25" Type="http://schemas.openxmlformats.org/officeDocument/2006/relationships/chart" Target="charts/chart14.xml"/><Relationship Id="rId2" Type="http://schemas.openxmlformats.org/officeDocument/2006/relationships/customXml" Target="../customXml/item2.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chart" Target="charts/chart13.xml"/><Relationship Id="rId5" Type="http://schemas.openxmlformats.org/officeDocument/2006/relationships/numbering" Target="numbering.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chart" Target="charts/chart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3.xml"/><Relationship Id="rId22" Type="http://schemas.openxmlformats.org/officeDocument/2006/relationships/chart" Target="charts/chart11.xm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https://gemalabco.sharepoint.com/sites/SHR-RetodeCiudad3/Shared%20Documents/00-Fase%200/06-Sesion%20Colectiva%20Moradores/Fontibon/Resultados/Cuestionario_Puerta_de_Teja_tabulado.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https://gemalabco.sharepoint.com/sites/SHR-RetodeCiudad3/Shared%20Documents/00-Fase%200/06-Sesion%20Colectiva%20Moradores/Fontibon/Resultados/Cuestionario_Puerta_de_Teja_tabulad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El</a:t>
            </a:r>
            <a:r>
              <a:rPr lang="es-CO" sz="1400" baseline="0">
                <a:latin typeface="Dosis" pitchFamily="2" charset="77"/>
              </a:rPr>
              <a:t> Morador es:</a:t>
            </a:r>
            <a:endParaRPr lang="es-CO" sz="1400">
              <a:latin typeface="Dosis" pitchFamily="2" charset="77"/>
            </a:endParaRPr>
          </a:p>
        </c:rich>
      </c:tx>
      <c:overlay val="0"/>
    </c:title>
    <c:autoTitleDeleted val="0"/>
    <c:plotArea>
      <c:layout/>
      <c:barChart>
        <c:barDir val="col"/>
        <c:grouping val="clustered"/>
        <c:varyColors val="0"/>
        <c:ser>
          <c:idx val="0"/>
          <c:order val="0"/>
          <c:tx>
            <c:strRef>
              <c:f>Graficas!$B$2</c:f>
              <c:strCache>
                <c:ptCount val="1"/>
                <c:pt idx="0">
                  <c:v>Frecuencia</c:v>
                </c:pt>
              </c:strCache>
            </c:strRef>
          </c:tx>
          <c:spPr>
            <a:solidFill>
              <a:schemeClr val="accent6"/>
            </a:solidFill>
            <a:ln>
              <a:prstDash val="solid"/>
            </a:ln>
          </c:spPr>
          <c:invertIfNegative val="0"/>
          <c:dPt>
            <c:idx val="1"/>
            <c:invertIfNegative val="0"/>
            <c:bubble3D val="0"/>
            <c:spPr>
              <a:solidFill>
                <a:srgbClr val="FFC000"/>
              </a:solidFill>
              <a:ln>
                <a:prstDash val="solid"/>
              </a:ln>
            </c:spPr>
            <c:extLst>
              <c:ext xmlns:c16="http://schemas.microsoft.com/office/drawing/2014/chart" uri="{C3380CC4-5D6E-409C-BE32-E72D297353CC}">
                <c16:uniqueId val="{00000000-E773-AF44-ACE0-B257C1AF5588}"/>
              </c:ext>
            </c:extLst>
          </c:dPt>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Graficas!$A$3:$A$4</c:f>
              <c:strCache>
                <c:ptCount val="2"/>
                <c:pt idx="0">
                  <c:v>Propietario</c:v>
                </c:pt>
                <c:pt idx="1">
                  <c:v>Arrendatario</c:v>
                </c:pt>
              </c:strCache>
            </c:strRef>
          </c:cat>
          <c:val>
            <c:numRef>
              <c:f>Graficas!$B$3:$B$4</c:f>
              <c:numCache>
                <c:formatCode>General</c:formatCode>
                <c:ptCount val="2"/>
                <c:pt idx="0">
                  <c:v>14</c:v>
                </c:pt>
                <c:pt idx="1">
                  <c:v>1</c:v>
                </c:pt>
              </c:numCache>
            </c:numRef>
          </c:val>
          <c:extLst>
            <c:ext xmlns:c16="http://schemas.microsoft.com/office/drawing/2014/chart" uri="{C3380CC4-5D6E-409C-BE32-E72D297353CC}">
              <c16:uniqueId val="{00000000-33E5-C74B-93A3-725EE264AB45}"/>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Tamaño de grupo con el que se siente cómodo</a:t>
            </a:r>
          </a:p>
        </c:rich>
      </c:tx>
      <c:overlay val="0"/>
    </c:title>
    <c:autoTitleDeleted val="0"/>
    <c:plotArea>
      <c:layout/>
      <c:barChart>
        <c:barDir val="col"/>
        <c:grouping val="clustered"/>
        <c:varyColors val="0"/>
        <c:ser>
          <c:idx val="0"/>
          <c:order val="0"/>
          <c:tx>
            <c:strRef>
              <c:f>Graficas!$B$192</c:f>
              <c:strCache>
                <c:ptCount val="1"/>
                <c:pt idx="0">
                  <c:v>Frecuencia</c:v>
                </c:pt>
              </c:strCache>
            </c:strRef>
          </c:tx>
          <c:spPr>
            <a:ln>
              <a:prstDash val="solid"/>
            </a:ln>
          </c:spPr>
          <c:invertIfNegative val="0"/>
          <c:dPt>
            <c:idx val="0"/>
            <c:invertIfNegative val="0"/>
            <c:bubble3D val="0"/>
            <c:spPr>
              <a:solidFill>
                <a:schemeClr val="accent2"/>
              </a:solidFill>
              <a:ln>
                <a:prstDash val="solid"/>
              </a:ln>
            </c:spPr>
            <c:extLst>
              <c:ext xmlns:c16="http://schemas.microsoft.com/office/drawing/2014/chart" uri="{C3380CC4-5D6E-409C-BE32-E72D297353CC}">
                <c16:uniqueId val="{00000001-E2B1-9D44-A3C3-3AB98BE7F69D}"/>
              </c:ext>
            </c:extLst>
          </c:dPt>
          <c:dPt>
            <c:idx val="1"/>
            <c:invertIfNegative val="0"/>
            <c:bubble3D val="0"/>
            <c:spPr>
              <a:solidFill>
                <a:schemeClr val="accent5"/>
              </a:solidFill>
              <a:ln>
                <a:prstDash val="solid"/>
              </a:ln>
            </c:spPr>
            <c:extLst>
              <c:ext xmlns:c16="http://schemas.microsoft.com/office/drawing/2014/chart" uri="{C3380CC4-5D6E-409C-BE32-E72D297353CC}">
                <c16:uniqueId val="{00000002-E2B1-9D44-A3C3-3AB98BE7F69D}"/>
              </c:ext>
            </c:extLst>
          </c:dPt>
          <c:dPt>
            <c:idx val="3"/>
            <c:invertIfNegative val="0"/>
            <c:bubble3D val="0"/>
            <c:spPr>
              <a:solidFill>
                <a:schemeClr val="accent6"/>
              </a:solidFill>
              <a:ln>
                <a:prstDash val="solid"/>
              </a:ln>
            </c:spPr>
            <c:extLst>
              <c:ext xmlns:c16="http://schemas.microsoft.com/office/drawing/2014/chart" uri="{C3380CC4-5D6E-409C-BE32-E72D297353CC}">
                <c16:uniqueId val="{00000003-E2B1-9D44-A3C3-3AB98BE7F69D}"/>
              </c:ext>
            </c:extLst>
          </c:dPt>
          <c:dPt>
            <c:idx val="4"/>
            <c:invertIfNegative val="0"/>
            <c:bubble3D val="0"/>
            <c:spPr>
              <a:solidFill>
                <a:schemeClr val="accent4"/>
              </a:solidFill>
              <a:ln>
                <a:prstDash val="solid"/>
              </a:ln>
            </c:spPr>
            <c:extLst>
              <c:ext xmlns:c16="http://schemas.microsoft.com/office/drawing/2014/chart" uri="{C3380CC4-5D6E-409C-BE32-E72D297353CC}">
                <c16:uniqueId val="{00000004-E2B1-9D44-A3C3-3AB98BE7F69D}"/>
              </c:ext>
            </c:extLst>
          </c:dPt>
          <c:dPt>
            <c:idx val="5"/>
            <c:invertIfNegative val="0"/>
            <c:bubble3D val="0"/>
            <c:spPr>
              <a:solidFill>
                <a:srgbClr val="C00000"/>
              </a:solidFill>
              <a:ln>
                <a:prstDash val="solid"/>
              </a:ln>
            </c:spPr>
            <c:extLst>
              <c:ext xmlns:c16="http://schemas.microsoft.com/office/drawing/2014/chart" uri="{C3380CC4-5D6E-409C-BE32-E72D297353CC}">
                <c16:uniqueId val="{00000005-E2B1-9D44-A3C3-3AB98BE7F69D}"/>
              </c:ext>
            </c:extLst>
          </c:dPt>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Graficas!$A$193:$A$199</c:f>
              <c:strCache>
                <c:ptCount val="7"/>
                <c:pt idx="0">
                  <c:v>Solo con 2 o 3 vecinos cercanos</c:v>
                </c:pt>
                <c:pt idx="1">
                  <c:v>Con la manzana completa</c:v>
                </c:pt>
                <c:pt idx="2">
                  <c:v>Con varias manzanas del barrio</c:v>
                </c:pt>
                <c:pt idx="3">
                  <c:v>Con un grupo definido por la Alcaldía / operador urbano</c:v>
                </c:pt>
                <c:pt idx="4">
                  <c:v>Me sentiría incómodo asociándome con otros vecinos</c:v>
                </c:pt>
                <c:pt idx="5">
                  <c:v>No lo sé</c:v>
                </c:pt>
                <c:pt idx="6">
                  <c:v>No responde</c:v>
                </c:pt>
              </c:strCache>
            </c:strRef>
          </c:cat>
          <c:val>
            <c:numRef>
              <c:f>Graficas!$B$193:$B$199</c:f>
              <c:numCache>
                <c:formatCode>General</c:formatCode>
                <c:ptCount val="7"/>
                <c:pt idx="0">
                  <c:v>3</c:v>
                </c:pt>
                <c:pt idx="1">
                  <c:v>4</c:v>
                </c:pt>
                <c:pt idx="2">
                  <c:v>0</c:v>
                </c:pt>
                <c:pt idx="3">
                  <c:v>2</c:v>
                </c:pt>
                <c:pt idx="4">
                  <c:v>1</c:v>
                </c:pt>
                <c:pt idx="5">
                  <c:v>5</c:v>
                </c:pt>
                <c:pt idx="6">
                  <c:v>0</c:v>
                </c:pt>
              </c:numCache>
            </c:numRef>
          </c:val>
          <c:extLst>
            <c:ext xmlns:c16="http://schemas.microsoft.com/office/drawing/2014/chart" uri="{C3380CC4-5D6E-409C-BE32-E72D297353CC}">
              <c16:uniqueId val="{00000000-E2B1-9D44-A3C3-3AB98BE7F69D}"/>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8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Tiempo estimado para tomar una decisión informada</a:t>
            </a:r>
          </a:p>
        </c:rich>
      </c:tx>
      <c:overlay val="0"/>
    </c:title>
    <c:autoTitleDeleted val="0"/>
    <c:plotArea>
      <c:layout/>
      <c:barChart>
        <c:barDir val="col"/>
        <c:grouping val="clustered"/>
        <c:varyColors val="0"/>
        <c:ser>
          <c:idx val="0"/>
          <c:order val="0"/>
          <c:tx>
            <c:strRef>
              <c:f>Graficas!$B$175</c:f>
              <c:strCache>
                <c:ptCount val="1"/>
                <c:pt idx="0">
                  <c:v>Frecuencia</c:v>
                </c:pt>
              </c:strCache>
            </c:strRef>
          </c:tx>
          <c:spPr>
            <a:ln>
              <a:prstDash val="solid"/>
            </a:ln>
          </c:spPr>
          <c:invertIfNegative val="0"/>
          <c:dPt>
            <c:idx val="0"/>
            <c:invertIfNegative val="0"/>
            <c:bubble3D val="0"/>
            <c:spPr>
              <a:solidFill>
                <a:schemeClr val="accent6"/>
              </a:solidFill>
              <a:ln>
                <a:prstDash val="solid"/>
              </a:ln>
            </c:spPr>
            <c:extLst>
              <c:ext xmlns:c16="http://schemas.microsoft.com/office/drawing/2014/chart" uri="{C3380CC4-5D6E-409C-BE32-E72D297353CC}">
                <c16:uniqueId val="{00000001-F670-9F44-BDFE-E4042BEE3FD8}"/>
              </c:ext>
            </c:extLst>
          </c:dPt>
          <c:dPt>
            <c:idx val="1"/>
            <c:invertIfNegative val="0"/>
            <c:bubble3D val="0"/>
            <c:spPr>
              <a:solidFill>
                <a:schemeClr val="accent2"/>
              </a:solidFill>
              <a:ln>
                <a:prstDash val="solid"/>
              </a:ln>
            </c:spPr>
            <c:extLst>
              <c:ext xmlns:c16="http://schemas.microsoft.com/office/drawing/2014/chart" uri="{C3380CC4-5D6E-409C-BE32-E72D297353CC}">
                <c16:uniqueId val="{00000002-F670-9F44-BDFE-E4042BEE3FD8}"/>
              </c:ext>
            </c:extLst>
          </c:dPt>
          <c:dPt>
            <c:idx val="2"/>
            <c:invertIfNegative val="0"/>
            <c:bubble3D val="0"/>
            <c:spPr>
              <a:solidFill>
                <a:schemeClr val="accent4"/>
              </a:solidFill>
              <a:ln>
                <a:prstDash val="solid"/>
              </a:ln>
            </c:spPr>
            <c:extLst>
              <c:ext xmlns:c16="http://schemas.microsoft.com/office/drawing/2014/chart" uri="{C3380CC4-5D6E-409C-BE32-E72D297353CC}">
                <c16:uniqueId val="{00000003-F670-9F44-BDFE-E4042BEE3FD8}"/>
              </c:ext>
            </c:extLst>
          </c:dPt>
          <c:dPt>
            <c:idx val="3"/>
            <c:invertIfNegative val="0"/>
            <c:bubble3D val="0"/>
            <c:spPr>
              <a:solidFill>
                <a:srgbClr val="FFC000"/>
              </a:solidFill>
              <a:ln>
                <a:prstDash val="solid"/>
              </a:ln>
            </c:spPr>
            <c:extLst>
              <c:ext xmlns:c16="http://schemas.microsoft.com/office/drawing/2014/chart" uri="{C3380CC4-5D6E-409C-BE32-E72D297353CC}">
                <c16:uniqueId val="{00000004-F670-9F44-BDFE-E4042BEE3FD8}"/>
              </c:ext>
            </c:extLst>
          </c:dPt>
          <c:dPt>
            <c:idx val="4"/>
            <c:invertIfNegative val="0"/>
            <c:bubble3D val="0"/>
            <c:spPr>
              <a:solidFill>
                <a:schemeClr val="accent5"/>
              </a:solidFill>
              <a:ln>
                <a:prstDash val="solid"/>
              </a:ln>
            </c:spPr>
            <c:extLst>
              <c:ext xmlns:c16="http://schemas.microsoft.com/office/drawing/2014/chart" uri="{C3380CC4-5D6E-409C-BE32-E72D297353CC}">
                <c16:uniqueId val="{00000005-F670-9F44-BDFE-E4042BEE3FD8}"/>
              </c:ext>
            </c:extLst>
          </c:dPt>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Graficas!$A$176:$A$181</c:f>
              <c:strCache>
                <c:ptCount val="6"/>
                <c:pt idx="0">
                  <c:v>Menos de 6 meses</c:v>
                </c:pt>
                <c:pt idx="1">
                  <c:v>Entre 6 meses y 1 año</c:v>
                </c:pt>
                <c:pt idx="2">
                  <c:v>Entre 1 y 3 años</c:v>
                </c:pt>
                <c:pt idx="3">
                  <c:v>Más de 3 años</c:v>
                </c:pt>
                <c:pt idx="4">
                  <c:v>No lo sé</c:v>
                </c:pt>
                <c:pt idx="5">
                  <c:v>No responde</c:v>
                </c:pt>
              </c:strCache>
            </c:strRef>
          </c:cat>
          <c:val>
            <c:numRef>
              <c:f>Graficas!$B$176:$B$181</c:f>
              <c:numCache>
                <c:formatCode>General</c:formatCode>
                <c:ptCount val="6"/>
                <c:pt idx="0">
                  <c:v>7</c:v>
                </c:pt>
                <c:pt idx="1">
                  <c:v>2</c:v>
                </c:pt>
                <c:pt idx="2">
                  <c:v>2</c:v>
                </c:pt>
                <c:pt idx="3">
                  <c:v>1</c:v>
                </c:pt>
                <c:pt idx="4">
                  <c:v>3</c:v>
                </c:pt>
                <c:pt idx="5">
                  <c:v>0</c:v>
                </c:pt>
              </c:numCache>
            </c:numRef>
          </c:val>
          <c:extLst>
            <c:ext xmlns:c16="http://schemas.microsoft.com/office/drawing/2014/chart" uri="{C3380CC4-5D6E-409C-BE32-E72D297353CC}">
              <c16:uniqueId val="{00000000-F670-9F44-BDFE-E4042BEE3FD8}"/>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9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Disposición a usar herramientas digitales</a:t>
            </a:r>
          </a:p>
        </c:rich>
      </c:tx>
      <c:overlay val="0"/>
    </c:title>
    <c:autoTitleDeleted val="0"/>
    <c:plotArea>
      <c:layout>
        <c:manualLayout>
          <c:layoutTarget val="inner"/>
          <c:xMode val="edge"/>
          <c:yMode val="edge"/>
          <c:x val="5.411474787647471E-2"/>
          <c:y val="0.24387427838357922"/>
          <c:w val="0.72224984096947153"/>
          <c:h val="0.54960326880243238"/>
        </c:manualLayout>
      </c:layout>
      <c:barChart>
        <c:barDir val="col"/>
        <c:grouping val="clustered"/>
        <c:varyColors val="0"/>
        <c:ser>
          <c:idx val="0"/>
          <c:order val="0"/>
          <c:tx>
            <c:strRef>
              <c:f>Graficas!$A$209</c:f>
              <c:strCache>
                <c:ptCount val="1"/>
                <c:pt idx="0">
                  <c:v>Muy en desacuerdo</c:v>
                </c:pt>
              </c:strCache>
            </c:strRef>
          </c:tx>
          <c:spPr>
            <a:solidFill>
              <a:srgbClr val="FFC000"/>
            </a:solidFill>
            <a:ln>
              <a:prstDash val="solid"/>
            </a:ln>
          </c:spPr>
          <c:invertIfNegative val="0"/>
          <c:dLbls>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99A-264C-81D5-763B286BD033}"/>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99A-264C-81D5-763B286BD033}"/>
                </c:ext>
              </c:extLst>
            </c:dLbl>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0"/>
            <c:showCatName val="0"/>
            <c:showSerName val="0"/>
            <c:showPercent val="0"/>
            <c:showBubbleSize val="0"/>
            <c:extLst>
              <c:ext xmlns:c15="http://schemas.microsoft.com/office/drawing/2012/chart" uri="{CE6537A1-D6FC-4f65-9D91-7224C49458BB}">
                <c15:showLeaderLines val="1"/>
              </c:ext>
            </c:extLst>
          </c:dLbls>
          <c:cat>
            <c:strRef>
              <c:f>Graficas!$B$208:$D$208</c:f>
              <c:strCache>
                <c:ptCount val="3"/>
                <c:pt idx="0">
                  <c:v>Comodidad usando herramienta digital</c:v>
                </c:pt>
                <c:pt idx="1">
                  <c:v>Preferencia de apoyo para usar herramienta</c:v>
                </c:pt>
                <c:pt idx="2">
                  <c:v>Necesidad de reuniones presenciales</c:v>
                </c:pt>
              </c:strCache>
            </c:strRef>
          </c:cat>
          <c:val>
            <c:numRef>
              <c:f>Graficas!$B$209:$D$209</c:f>
              <c:numCache>
                <c:formatCode>General</c:formatCode>
                <c:ptCount val="3"/>
                <c:pt idx="0">
                  <c:v>0</c:v>
                </c:pt>
                <c:pt idx="1">
                  <c:v>1</c:v>
                </c:pt>
                <c:pt idx="2">
                  <c:v>1</c:v>
                </c:pt>
              </c:numCache>
            </c:numRef>
          </c:val>
          <c:extLst>
            <c:ext xmlns:c16="http://schemas.microsoft.com/office/drawing/2014/chart" uri="{C3380CC4-5D6E-409C-BE32-E72D297353CC}">
              <c16:uniqueId val="{00000001-299A-264C-81D5-763B286BD033}"/>
            </c:ext>
          </c:extLst>
        </c:ser>
        <c:ser>
          <c:idx val="1"/>
          <c:order val="1"/>
          <c:tx>
            <c:strRef>
              <c:f>Graficas!$A$210</c:f>
              <c:strCache>
                <c:ptCount val="1"/>
                <c:pt idx="0">
                  <c:v>En desacuerdo</c:v>
                </c:pt>
              </c:strCache>
            </c:strRef>
          </c:tx>
          <c:spPr>
            <a:solidFill>
              <a:schemeClr val="accent5"/>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Graficas!$B$208:$D$208</c:f>
              <c:strCache>
                <c:ptCount val="3"/>
                <c:pt idx="0">
                  <c:v>Comodidad usando herramienta digital</c:v>
                </c:pt>
                <c:pt idx="1">
                  <c:v>Preferencia de apoyo para usar herramienta</c:v>
                </c:pt>
                <c:pt idx="2">
                  <c:v>Necesidad de reuniones presenciales</c:v>
                </c:pt>
              </c:strCache>
            </c:strRef>
          </c:cat>
          <c:val>
            <c:numRef>
              <c:f>Graficas!$B$210:$D$210</c:f>
              <c:numCache>
                <c:formatCode>General</c:formatCode>
                <c:ptCount val="3"/>
                <c:pt idx="0">
                  <c:v>3</c:v>
                </c:pt>
                <c:pt idx="1">
                  <c:v>2</c:v>
                </c:pt>
                <c:pt idx="2">
                  <c:v>0</c:v>
                </c:pt>
              </c:numCache>
            </c:numRef>
          </c:val>
          <c:extLst>
            <c:ext xmlns:c16="http://schemas.microsoft.com/office/drawing/2014/chart" uri="{C3380CC4-5D6E-409C-BE32-E72D297353CC}">
              <c16:uniqueId val="{00000002-299A-264C-81D5-763B286BD033}"/>
            </c:ext>
          </c:extLst>
        </c:ser>
        <c:ser>
          <c:idx val="2"/>
          <c:order val="2"/>
          <c:tx>
            <c:strRef>
              <c:f>Graficas!$A$211</c:f>
              <c:strCache>
                <c:ptCount val="1"/>
                <c:pt idx="0">
                  <c:v>Ni en desacuerdo ni de acuerdo</c:v>
                </c:pt>
              </c:strCache>
            </c:strRef>
          </c:tx>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Graficas!$B$208:$D$208</c:f>
              <c:strCache>
                <c:ptCount val="3"/>
                <c:pt idx="0">
                  <c:v>Comodidad usando herramienta digital</c:v>
                </c:pt>
                <c:pt idx="1">
                  <c:v>Preferencia de apoyo para usar herramienta</c:v>
                </c:pt>
                <c:pt idx="2">
                  <c:v>Necesidad de reuniones presenciales</c:v>
                </c:pt>
              </c:strCache>
            </c:strRef>
          </c:cat>
          <c:val>
            <c:numRef>
              <c:f>Graficas!$B$211:$D$211</c:f>
              <c:numCache>
                <c:formatCode>General</c:formatCode>
                <c:ptCount val="3"/>
                <c:pt idx="0">
                  <c:v>0</c:v>
                </c:pt>
                <c:pt idx="1">
                  <c:v>0</c:v>
                </c:pt>
                <c:pt idx="2">
                  <c:v>0</c:v>
                </c:pt>
              </c:numCache>
            </c:numRef>
          </c:val>
          <c:extLst>
            <c:ext xmlns:c16="http://schemas.microsoft.com/office/drawing/2014/chart" uri="{C3380CC4-5D6E-409C-BE32-E72D297353CC}">
              <c16:uniqueId val="{00000003-299A-264C-81D5-763B286BD033}"/>
            </c:ext>
          </c:extLst>
        </c:ser>
        <c:ser>
          <c:idx val="3"/>
          <c:order val="3"/>
          <c:tx>
            <c:strRef>
              <c:f>Graficas!$A$212</c:f>
              <c:strCache>
                <c:ptCount val="1"/>
                <c:pt idx="0">
                  <c:v>De acuerdo</c:v>
                </c:pt>
              </c:strCache>
            </c:strRef>
          </c:tx>
          <c:spPr>
            <a:solidFill>
              <a:schemeClr val="accent6"/>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Graficas!$B$208:$D$208</c:f>
              <c:strCache>
                <c:ptCount val="3"/>
                <c:pt idx="0">
                  <c:v>Comodidad usando herramienta digital</c:v>
                </c:pt>
                <c:pt idx="1">
                  <c:v>Preferencia de apoyo para usar herramienta</c:v>
                </c:pt>
                <c:pt idx="2">
                  <c:v>Necesidad de reuniones presenciales</c:v>
                </c:pt>
              </c:strCache>
            </c:strRef>
          </c:cat>
          <c:val>
            <c:numRef>
              <c:f>Graficas!$B$212:$D$212</c:f>
              <c:numCache>
                <c:formatCode>General</c:formatCode>
                <c:ptCount val="3"/>
                <c:pt idx="0">
                  <c:v>6</c:v>
                </c:pt>
                <c:pt idx="1">
                  <c:v>8</c:v>
                </c:pt>
                <c:pt idx="2">
                  <c:v>7</c:v>
                </c:pt>
              </c:numCache>
            </c:numRef>
          </c:val>
          <c:extLst>
            <c:ext xmlns:c16="http://schemas.microsoft.com/office/drawing/2014/chart" uri="{C3380CC4-5D6E-409C-BE32-E72D297353CC}">
              <c16:uniqueId val="{00000004-299A-264C-81D5-763B286BD033}"/>
            </c:ext>
          </c:extLst>
        </c:ser>
        <c:ser>
          <c:idx val="4"/>
          <c:order val="4"/>
          <c:tx>
            <c:strRef>
              <c:f>Graficas!$A$213</c:f>
              <c:strCache>
                <c:ptCount val="1"/>
                <c:pt idx="0">
                  <c:v>Muy de acuerdo</c:v>
                </c:pt>
              </c:strCache>
            </c:strRef>
          </c:tx>
          <c:spPr>
            <a:solidFill>
              <a:schemeClr val="accent4"/>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Graficas!$B$208:$D$208</c:f>
              <c:strCache>
                <c:ptCount val="3"/>
                <c:pt idx="0">
                  <c:v>Comodidad usando herramienta digital</c:v>
                </c:pt>
                <c:pt idx="1">
                  <c:v>Preferencia de apoyo para usar herramienta</c:v>
                </c:pt>
                <c:pt idx="2">
                  <c:v>Necesidad de reuniones presenciales</c:v>
                </c:pt>
              </c:strCache>
            </c:strRef>
          </c:cat>
          <c:val>
            <c:numRef>
              <c:f>Graficas!$B$213:$D$213</c:f>
              <c:numCache>
                <c:formatCode>General</c:formatCode>
                <c:ptCount val="3"/>
                <c:pt idx="0">
                  <c:v>6</c:v>
                </c:pt>
                <c:pt idx="1">
                  <c:v>3</c:v>
                </c:pt>
                <c:pt idx="2">
                  <c:v>6</c:v>
                </c:pt>
              </c:numCache>
            </c:numRef>
          </c:val>
          <c:extLst>
            <c:ext xmlns:c16="http://schemas.microsoft.com/office/drawing/2014/chart" uri="{C3380CC4-5D6E-409C-BE32-E72D297353CC}">
              <c16:uniqueId val="{00000005-299A-264C-81D5-763B286BD033}"/>
            </c:ext>
          </c:extLst>
        </c:ser>
        <c:ser>
          <c:idx val="5"/>
          <c:order val="5"/>
          <c:tx>
            <c:strRef>
              <c:f>Graficas!$A$214</c:f>
              <c:strCache>
                <c:ptCount val="1"/>
                <c:pt idx="0">
                  <c:v>No responde</c:v>
                </c:pt>
              </c:strCache>
            </c:strRef>
          </c:tx>
          <c:invertIfNegative val="0"/>
          <c:cat>
            <c:strRef>
              <c:f>Graficas!$B$208:$D$208</c:f>
              <c:strCache>
                <c:ptCount val="3"/>
                <c:pt idx="0">
                  <c:v>Comodidad usando herramienta digital</c:v>
                </c:pt>
                <c:pt idx="1">
                  <c:v>Preferencia de apoyo para usar herramienta</c:v>
                </c:pt>
                <c:pt idx="2">
                  <c:v>Necesidad de reuniones presenciales</c:v>
                </c:pt>
              </c:strCache>
            </c:strRef>
          </c:cat>
          <c:val>
            <c:numRef>
              <c:f>Graficas!$B$214:$D$214</c:f>
              <c:numCache>
                <c:formatCode>General</c:formatCode>
                <c:ptCount val="3"/>
                <c:pt idx="0">
                  <c:v>0</c:v>
                </c:pt>
                <c:pt idx="1">
                  <c:v>1</c:v>
                </c:pt>
                <c:pt idx="2">
                  <c:v>0</c:v>
                </c:pt>
              </c:numCache>
            </c:numRef>
          </c:val>
          <c:extLst>
            <c:ext xmlns:c16="http://schemas.microsoft.com/office/drawing/2014/chart" uri="{C3380CC4-5D6E-409C-BE32-E72D297353CC}">
              <c16:uniqueId val="{00000006-299A-264C-81D5-763B286BD033}"/>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8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legend>
      <c:legendPos val="r"/>
      <c:layout>
        <c:manualLayout>
          <c:xMode val="edge"/>
          <c:yMode val="edge"/>
          <c:x val="0.75305668257862868"/>
          <c:y val="0.28218724904415815"/>
          <c:w val="0.23336558490270187"/>
          <c:h val="0.60297586278302773"/>
        </c:manualLayout>
      </c:layout>
      <c:overlay val="0"/>
      <c:txPr>
        <a:bodyPr/>
        <a:lstStyle/>
        <a:p>
          <a:pPr>
            <a:defRPr sz="800">
              <a:latin typeface="Dosis" pitchFamily="2" charset="77"/>
            </a:defRPr>
          </a:pPr>
          <a:endParaRPr lang="es-CO"/>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s-CO" sz="1400">
                <a:latin typeface="Dosis" pitchFamily="2" charset="77"/>
              </a:rPr>
              <a:t>Barreras</a:t>
            </a:r>
            <a:r>
              <a:rPr lang="es-CO" sz="1400"/>
              <a:t> y limitaciones percibidas</a:t>
            </a:r>
          </a:p>
        </c:rich>
      </c:tx>
      <c:overlay val="0"/>
    </c:title>
    <c:autoTitleDeleted val="0"/>
    <c:plotArea>
      <c:layout/>
      <c:barChart>
        <c:barDir val="col"/>
        <c:grouping val="percentStacked"/>
        <c:varyColors val="0"/>
        <c:ser>
          <c:idx val="0"/>
          <c:order val="0"/>
          <c:tx>
            <c:strRef>
              <c:f>Graficas!$A$226</c:f>
              <c:strCache>
                <c:ptCount val="1"/>
                <c:pt idx="0">
                  <c:v>Mucho</c:v>
                </c:pt>
              </c:strCache>
            </c:strRef>
          </c:tx>
          <c:spPr>
            <a:solidFill>
              <a:schemeClr val="accent6"/>
            </a:solidFill>
          </c:spPr>
          <c:invertIfNegative val="0"/>
          <c:dLbls>
            <c:spPr>
              <a:noFill/>
              <a:ln>
                <a:noFill/>
              </a:ln>
              <a:effectLst/>
            </c:spPr>
            <c:txPr>
              <a:bodyPr wrap="square" lIns="38100" tIns="19050" rIns="38100" bIns="19050" anchor="ctr">
                <a:spAutoFit/>
              </a:bodyPr>
              <a:lstStyle/>
              <a:p>
                <a:pPr>
                  <a:defRPr sz="800" b="1">
                    <a:solidFill>
                      <a:schemeClr val="bg1"/>
                    </a:solidFill>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Graficas!$B$225:$L$225</c:f>
              <c:strCache>
                <c:ptCount val="11"/>
                <c:pt idx="0">
                  <c:v>Falta de información / no conocer bien el proceso</c:v>
                </c:pt>
                <c:pt idx="1">
                  <c:v>Desconfianza para trabajar en conjunto</c:v>
                </c:pt>
                <c:pt idx="2">
                  <c:v>Falta de claridad en condiciones y reglas</c:v>
                </c:pt>
                <c:pt idx="3">
                  <c:v>Problemas legales o jurídicos del predio</c:v>
                </c:pt>
                <c:pt idx="4">
                  <c:v>Tener que esperar más de un año para beneficios</c:v>
                </c:pt>
                <c:pt idx="5">
                  <c:v>Opinión de la familia</c:v>
                </c:pt>
                <c:pt idx="6">
                  <c:v>Depender de ingresos actuales del predio</c:v>
                </c:pt>
                <c:pt idx="7">
                  <c:v>Deseo de quedarse por relaciones sociales</c:v>
                </c:pt>
                <c:pt idx="8">
                  <c:v>Falta de experiencia en negocios inmobiliarios</c:v>
                </c:pt>
                <c:pt idx="9">
                  <c:v>Temor a irse y no encontrar lugar adecuado</c:v>
                </c:pt>
                <c:pt idx="10">
                  <c:v>Temor a que el proyecto no se concrete / no sea rentable</c:v>
                </c:pt>
              </c:strCache>
            </c:strRef>
          </c:cat>
          <c:val>
            <c:numRef>
              <c:f>Graficas!$B$226:$L$226</c:f>
              <c:numCache>
                <c:formatCode>General</c:formatCode>
                <c:ptCount val="11"/>
                <c:pt idx="0">
                  <c:v>13</c:v>
                </c:pt>
                <c:pt idx="1">
                  <c:v>8</c:v>
                </c:pt>
                <c:pt idx="2">
                  <c:v>12</c:v>
                </c:pt>
                <c:pt idx="3">
                  <c:v>5</c:v>
                </c:pt>
                <c:pt idx="4">
                  <c:v>12</c:v>
                </c:pt>
                <c:pt idx="5">
                  <c:v>7</c:v>
                </c:pt>
                <c:pt idx="6">
                  <c:v>12</c:v>
                </c:pt>
                <c:pt idx="7">
                  <c:v>5</c:v>
                </c:pt>
                <c:pt idx="8">
                  <c:v>7</c:v>
                </c:pt>
                <c:pt idx="9">
                  <c:v>8</c:v>
                </c:pt>
                <c:pt idx="10">
                  <c:v>11</c:v>
                </c:pt>
              </c:numCache>
            </c:numRef>
          </c:val>
          <c:extLst>
            <c:ext xmlns:c16="http://schemas.microsoft.com/office/drawing/2014/chart" uri="{C3380CC4-5D6E-409C-BE32-E72D297353CC}">
              <c16:uniqueId val="{00000000-7917-2A44-8A83-64DDB2332D6B}"/>
            </c:ext>
          </c:extLst>
        </c:ser>
        <c:ser>
          <c:idx val="1"/>
          <c:order val="1"/>
          <c:tx>
            <c:strRef>
              <c:f>Graficas!$A$227</c:f>
              <c:strCache>
                <c:ptCount val="1"/>
                <c:pt idx="0">
                  <c:v>Algo</c:v>
                </c:pt>
              </c:strCache>
            </c:strRef>
          </c:tx>
          <c:invertIfNegative val="0"/>
          <c:dLbls>
            <c:dLbl>
              <c:idx val="4"/>
              <c:delete val="1"/>
              <c:extLst>
                <c:ext xmlns:c15="http://schemas.microsoft.com/office/drawing/2012/chart" uri="{CE6537A1-D6FC-4f65-9D91-7224C49458BB}"/>
                <c:ext xmlns:c16="http://schemas.microsoft.com/office/drawing/2014/chart" uri="{C3380CC4-5D6E-409C-BE32-E72D297353CC}">
                  <c16:uniqueId val="{00000001-7917-2A44-8A83-64DDB2332D6B}"/>
                </c:ext>
              </c:extLst>
            </c:dLbl>
            <c:spPr>
              <a:noFill/>
              <a:ln>
                <a:noFill/>
              </a:ln>
              <a:effectLst/>
            </c:spPr>
            <c:txPr>
              <a:bodyPr wrap="square" lIns="38100" tIns="19050" rIns="38100" bIns="19050" anchor="ctr">
                <a:spAutoFit/>
              </a:bodyPr>
              <a:lstStyle/>
              <a:p>
                <a:pPr>
                  <a:defRPr sz="800" b="1">
                    <a:solidFill>
                      <a:schemeClr val="bg1"/>
                    </a:solidFill>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Graficas!$B$225:$L$225</c:f>
              <c:strCache>
                <c:ptCount val="11"/>
                <c:pt idx="0">
                  <c:v>Falta de información / no conocer bien el proceso</c:v>
                </c:pt>
                <c:pt idx="1">
                  <c:v>Desconfianza para trabajar en conjunto</c:v>
                </c:pt>
                <c:pt idx="2">
                  <c:v>Falta de claridad en condiciones y reglas</c:v>
                </c:pt>
                <c:pt idx="3">
                  <c:v>Problemas legales o jurídicos del predio</c:v>
                </c:pt>
                <c:pt idx="4">
                  <c:v>Tener que esperar más de un año para beneficios</c:v>
                </c:pt>
                <c:pt idx="5">
                  <c:v>Opinión de la familia</c:v>
                </c:pt>
                <c:pt idx="6">
                  <c:v>Depender de ingresos actuales del predio</c:v>
                </c:pt>
                <c:pt idx="7">
                  <c:v>Deseo de quedarse por relaciones sociales</c:v>
                </c:pt>
                <c:pt idx="8">
                  <c:v>Falta de experiencia en negocios inmobiliarios</c:v>
                </c:pt>
                <c:pt idx="9">
                  <c:v>Temor a irse y no encontrar lugar adecuado</c:v>
                </c:pt>
                <c:pt idx="10">
                  <c:v>Temor a que el proyecto no se concrete / no sea rentable</c:v>
                </c:pt>
              </c:strCache>
            </c:strRef>
          </c:cat>
          <c:val>
            <c:numRef>
              <c:f>Graficas!$B$227:$L$227</c:f>
              <c:numCache>
                <c:formatCode>General</c:formatCode>
                <c:ptCount val="11"/>
                <c:pt idx="0">
                  <c:v>1</c:v>
                </c:pt>
                <c:pt idx="1">
                  <c:v>3</c:v>
                </c:pt>
                <c:pt idx="2">
                  <c:v>1</c:v>
                </c:pt>
                <c:pt idx="3">
                  <c:v>4</c:v>
                </c:pt>
                <c:pt idx="4">
                  <c:v>0</c:v>
                </c:pt>
                <c:pt idx="5">
                  <c:v>4</c:v>
                </c:pt>
                <c:pt idx="6">
                  <c:v>1</c:v>
                </c:pt>
                <c:pt idx="7">
                  <c:v>4</c:v>
                </c:pt>
                <c:pt idx="8">
                  <c:v>4</c:v>
                </c:pt>
                <c:pt idx="9">
                  <c:v>4</c:v>
                </c:pt>
                <c:pt idx="10">
                  <c:v>2</c:v>
                </c:pt>
              </c:numCache>
            </c:numRef>
          </c:val>
          <c:extLst>
            <c:ext xmlns:c16="http://schemas.microsoft.com/office/drawing/2014/chart" uri="{C3380CC4-5D6E-409C-BE32-E72D297353CC}">
              <c16:uniqueId val="{00000002-7917-2A44-8A83-64DDB2332D6B}"/>
            </c:ext>
          </c:extLst>
        </c:ser>
        <c:ser>
          <c:idx val="2"/>
          <c:order val="2"/>
          <c:tx>
            <c:strRef>
              <c:f>Graficas!$A$228</c:f>
              <c:strCache>
                <c:ptCount val="1"/>
                <c:pt idx="0">
                  <c:v>Poco</c:v>
                </c:pt>
              </c:strCache>
            </c:strRef>
          </c:tx>
          <c:spPr>
            <a:solidFill>
              <a:srgbClr val="FFC000"/>
            </a:solidFill>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7917-2A44-8A83-64DDB2332D6B}"/>
                </c:ext>
              </c:extLst>
            </c:dLbl>
            <c:dLbl>
              <c:idx val="4"/>
              <c:delete val="1"/>
              <c:extLst>
                <c:ext xmlns:c15="http://schemas.microsoft.com/office/drawing/2012/chart" uri="{CE6537A1-D6FC-4f65-9D91-7224C49458BB}"/>
                <c:ext xmlns:c16="http://schemas.microsoft.com/office/drawing/2014/chart" uri="{C3380CC4-5D6E-409C-BE32-E72D297353CC}">
                  <c16:uniqueId val="{00000004-7917-2A44-8A83-64DDB2332D6B}"/>
                </c:ext>
              </c:extLst>
            </c:dLbl>
            <c:dLbl>
              <c:idx val="10"/>
              <c:delete val="1"/>
              <c:extLst>
                <c:ext xmlns:c15="http://schemas.microsoft.com/office/drawing/2012/chart" uri="{CE6537A1-D6FC-4f65-9D91-7224C49458BB}"/>
                <c:ext xmlns:c16="http://schemas.microsoft.com/office/drawing/2014/chart" uri="{C3380CC4-5D6E-409C-BE32-E72D297353CC}">
                  <c16:uniqueId val="{00000005-7917-2A44-8A83-64DDB2332D6B}"/>
                </c:ext>
              </c:extLst>
            </c:dLbl>
            <c:spPr>
              <a:noFill/>
              <a:ln>
                <a:noFill/>
              </a:ln>
              <a:effectLst/>
            </c:spPr>
            <c:txPr>
              <a:bodyPr wrap="square" lIns="38100" tIns="19050" rIns="38100" bIns="19050" anchor="ctr">
                <a:spAutoFit/>
              </a:bodyPr>
              <a:lstStyle/>
              <a:p>
                <a:pPr>
                  <a:defRPr sz="800" b="1">
                    <a:solidFill>
                      <a:schemeClr val="bg1"/>
                    </a:solidFill>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Graficas!$B$225:$L$225</c:f>
              <c:strCache>
                <c:ptCount val="11"/>
                <c:pt idx="0">
                  <c:v>Falta de información / no conocer bien el proceso</c:v>
                </c:pt>
                <c:pt idx="1">
                  <c:v>Desconfianza para trabajar en conjunto</c:v>
                </c:pt>
                <c:pt idx="2">
                  <c:v>Falta de claridad en condiciones y reglas</c:v>
                </c:pt>
                <c:pt idx="3">
                  <c:v>Problemas legales o jurídicos del predio</c:v>
                </c:pt>
                <c:pt idx="4">
                  <c:v>Tener que esperar más de un año para beneficios</c:v>
                </c:pt>
                <c:pt idx="5">
                  <c:v>Opinión de la familia</c:v>
                </c:pt>
                <c:pt idx="6">
                  <c:v>Depender de ingresos actuales del predio</c:v>
                </c:pt>
                <c:pt idx="7">
                  <c:v>Deseo de quedarse por relaciones sociales</c:v>
                </c:pt>
                <c:pt idx="8">
                  <c:v>Falta de experiencia en negocios inmobiliarios</c:v>
                </c:pt>
                <c:pt idx="9">
                  <c:v>Temor a irse y no encontrar lugar adecuado</c:v>
                </c:pt>
                <c:pt idx="10">
                  <c:v>Temor a que el proyecto no se concrete / no sea rentable</c:v>
                </c:pt>
              </c:strCache>
            </c:strRef>
          </c:cat>
          <c:val>
            <c:numRef>
              <c:f>Graficas!$B$228:$L$228</c:f>
              <c:numCache>
                <c:formatCode>General</c:formatCode>
                <c:ptCount val="11"/>
                <c:pt idx="0">
                  <c:v>0</c:v>
                </c:pt>
                <c:pt idx="1">
                  <c:v>1</c:v>
                </c:pt>
                <c:pt idx="2">
                  <c:v>1</c:v>
                </c:pt>
                <c:pt idx="3">
                  <c:v>1</c:v>
                </c:pt>
                <c:pt idx="4">
                  <c:v>0</c:v>
                </c:pt>
                <c:pt idx="5">
                  <c:v>2</c:v>
                </c:pt>
                <c:pt idx="6">
                  <c:v>1</c:v>
                </c:pt>
                <c:pt idx="7">
                  <c:v>3</c:v>
                </c:pt>
                <c:pt idx="8">
                  <c:v>1</c:v>
                </c:pt>
                <c:pt idx="9">
                  <c:v>1</c:v>
                </c:pt>
                <c:pt idx="10">
                  <c:v>0</c:v>
                </c:pt>
              </c:numCache>
            </c:numRef>
          </c:val>
          <c:extLst>
            <c:ext xmlns:c16="http://schemas.microsoft.com/office/drawing/2014/chart" uri="{C3380CC4-5D6E-409C-BE32-E72D297353CC}">
              <c16:uniqueId val="{00000006-7917-2A44-8A83-64DDB2332D6B}"/>
            </c:ext>
          </c:extLst>
        </c:ser>
        <c:ser>
          <c:idx val="3"/>
          <c:order val="3"/>
          <c:tx>
            <c:strRef>
              <c:f>Graficas!$A$229</c:f>
              <c:strCache>
                <c:ptCount val="1"/>
                <c:pt idx="0">
                  <c:v>Nada</c:v>
                </c:pt>
              </c:strCache>
            </c:strRef>
          </c:tx>
          <c:invertIfNegative val="0"/>
          <c:dLbls>
            <c:spPr>
              <a:noFill/>
              <a:ln>
                <a:noFill/>
              </a:ln>
              <a:effectLst/>
            </c:spPr>
            <c:txPr>
              <a:bodyPr wrap="square" lIns="38100" tIns="19050" rIns="38100" bIns="19050" anchor="ctr">
                <a:spAutoFit/>
              </a:bodyPr>
              <a:lstStyle/>
              <a:p>
                <a:pPr>
                  <a:defRPr sz="800" b="1">
                    <a:solidFill>
                      <a:schemeClr val="bg1"/>
                    </a:solidFill>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Graficas!$B$225:$L$225</c:f>
              <c:strCache>
                <c:ptCount val="11"/>
                <c:pt idx="0">
                  <c:v>Falta de información / no conocer bien el proceso</c:v>
                </c:pt>
                <c:pt idx="1">
                  <c:v>Desconfianza para trabajar en conjunto</c:v>
                </c:pt>
                <c:pt idx="2">
                  <c:v>Falta de claridad en condiciones y reglas</c:v>
                </c:pt>
                <c:pt idx="3">
                  <c:v>Problemas legales o jurídicos del predio</c:v>
                </c:pt>
                <c:pt idx="4">
                  <c:v>Tener que esperar más de un año para beneficios</c:v>
                </c:pt>
                <c:pt idx="5">
                  <c:v>Opinión de la familia</c:v>
                </c:pt>
                <c:pt idx="6">
                  <c:v>Depender de ingresos actuales del predio</c:v>
                </c:pt>
                <c:pt idx="7">
                  <c:v>Deseo de quedarse por relaciones sociales</c:v>
                </c:pt>
                <c:pt idx="8">
                  <c:v>Falta de experiencia en negocios inmobiliarios</c:v>
                </c:pt>
                <c:pt idx="9">
                  <c:v>Temor a irse y no encontrar lugar adecuado</c:v>
                </c:pt>
                <c:pt idx="10">
                  <c:v>Temor a que el proyecto no se concrete / no sea rentable</c:v>
                </c:pt>
              </c:strCache>
            </c:strRef>
          </c:cat>
          <c:val>
            <c:numRef>
              <c:f>Graficas!$B$229:$L$229</c:f>
              <c:numCache>
                <c:formatCode>General</c:formatCode>
                <c:ptCount val="11"/>
                <c:pt idx="0">
                  <c:v>1</c:v>
                </c:pt>
                <c:pt idx="1">
                  <c:v>1</c:v>
                </c:pt>
                <c:pt idx="2">
                  <c:v>1</c:v>
                </c:pt>
                <c:pt idx="3">
                  <c:v>5</c:v>
                </c:pt>
                <c:pt idx="4">
                  <c:v>3</c:v>
                </c:pt>
                <c:pt idx="5">
                  <c:v>2</c:v>
                </c:pt>
                <c:pt idx="6">
                  <c:v>1</c:v>
                </c:pt>
                <c:pt idx="7">
                  <c:v>3</c:v>
                </c:pt>
                <c:pt idx="8">
                  <c:v>3</c:v>
                </c:pt>
                <c:pt idx="9">
                  <c:v>2</c:v>
                </c:pt>
                <c:pt idx="10">
                  <c:v>1</c:v>
                </c:pt>
              </c:numCache>
            </c:numRef>
          </c:val>
          <c:extLst>
            <c:ext xmlns:c16="http://schemas.microsoft.com/office/drawing/2014/chart" uri="{C3380CC4-5D6E-409C-BE32-E72D297353CC}">
              <c16:uniqueId val="{00000007-7917-2A44-8A83-64DDB2332D6B}"/>
            </c:ext>
          </c:extLst>
        </c:ser>
        <c:ser>
          <c:idx val="4"/>
          <c:order val="4"/>
          <c:tx>
            <c:strRef>
              <c:f>Graficas!$A$230</c:f>
              <c:strCache>
                <c:ptCount val="1"/>
                <c:pt idx="0">
                  <c:v>No responde</c:v>
                </c:pt>
              </c:strCache>
            </c:strRef>
          </c:tx>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8-7917-2A44-8A83-64DDB2332D6B}"/>
                </c:ext>
              </c:extLst>
            </c:dLbl>
            <c:dLbl>
              <c:idx val="2"/>
              <c:delete val="1"/>
              <c:extLst>
                <c:ext xmlns:c15="http://schemas.microsoft.com/office/drawing/2012/chart" uri="{CE6537A1-D6FC-4f65-9D91-7224C49458BB}"/>
                <c:ext xmlns:c16="http://schemas.microsoft.com/office/drawing/2014/chart" uri="{C3380CC4-5D6E-409C-BE32-E72D297353CC}">
                  <c16:uniqueId val="{00000009-7917-2A44-8A83-64DDB2332D6B}"/>
                </c:ext>
              </c:extLst>
            </c:dLbl>
            <c:dLbl>
              <c:idx val="3"/>
              <c:delete val="1"/>
              <c:extLst>
                <c:ext xmlns:c15="http://schemas.microsoft.com/office/drawing/2012/chart" uri="{CE6537A1-D6FC-4f65-9D91-7224C49458BB}"/>
                <c:ext xmlns:c16="http://schemas.microsoft.com/office/drawing/2014/chart" uri="{C3380CC4-5D6E-409C-BE32-E72D297353CC}">
                  <c16:uniqueId val="{0000000A-7917-2A44-8A83-64DDB2332D6B}"/>
                </c:ext>
              </c:extLst>
            </c:dLbl>
            <c:dLbl>
              <c:idx val="4"/>
              <c:delete val="1"/>
              <c:extLst>
                <c:ext xmlns:c15="http://schemas.microsoft.com/office/drawing/2012/chart" uri="{CE6537A1-D6FC-4f65-9D91-7224C49458BB}"/>
                <c:ext xmlns:c16="http://schemas.microsoft.com/office/drawing/2014/chart" uri="{C3380CC4-5D6E-409C-BE32-E72D297353CC}">
                  <c16:uniqueId val="{0000000B-7917-2A44-8A83-64DDB2332D6B}"/>
                </c:ext>
              </c:extLst>
            </c:dLbl>
            <c:dLbl>
              <c:idx val="5"/>
              <c:delete val="1"/>
              <c:extLst>
                <c:ext xmlns:c15="http://schemas.microsoft.com/office/drawing/2012/chart" uri="{CE6537A1-D6FC-4f65-9D91-7224C49458BB}"/>
                <c:ext xmlns:c16="http://schemas.microsoft.com/office/drawing/2014/chart" uri="{C3380CC4-5D6E-409C-BE32-E72D297353CC}">
                  <c16:uniqueId val="{0000000C-7917-2A44-8A83-64DDB2332D6B}"/>
                </c:ext>
              </c:extLst>
            </c:dLbl>
            <c:dLbl>
              <c:idx val="6"/>
              <c:delete val="1"/>
              <c:extLst>
                <c:ext xmlns:c15="http://schemas.microsoft.com/office/drawing/2012/chart" uri="{CE6537A1-D6FC-4f65-9D91-7224C49458BB}"/>
                <c:ext xmlns:c16="http://schemas.microsoft.com/office/drawing/2014/chart" uri="{C3380CC4-5D6E-409C-BE32-E72D297353CC}">
                  <c16:uniqueId val="{0000000D-7917-2A44-8A83-64DDB2332D6B}"/>
                </c:ext>
              </c:extLst>
            </c:dLbl>
            <c:dLbl>
              <c:idx val="7"/>
              <c:delete val="1"/>
              <c:extLst>
                <c:ext xmlns:c15="http://schemas.microsoft.com/office/drawing/2012/chart" uri="{CE6537A1-D6FC-4f65-9D91-7224C49458BB}"/>
                <c:ext xmlns:c16="http://schemas.microsoft.com/office/drawing/2014/chart" uri="{C3380CC4-5D6E-409C-BE32-E72D297353CC}">
                  <c16:uniqueId val="{0000000E-7917-2A44-8A83-64DDB2332D6B}"/>
                </c:ext>
              </c:extLst>
            </c:dLbl>
            <c:dLbl>
              <c:idx val="8"/>
              <c:delete val="1"/>
              <c:extLst>
                <c:ext xmlns:c15="http://schemas.microsoft.com/office/drawing/2012/chart" uri="{CE6537A1-D6FC-4f65-9D91-7224C49458BB}"/>
                <c:ext xmlns:c16="http://schemas.microsoft.com/office/drawing/2014/chart" uri="{C3380CC4-5D6E-409C-BE32-E72D297353CC}">
                  <c16:uniqueId val="{0000000F-7917-2A44-8A83-64DDB2332D6B}"/>
                </c:ext>
              </c:extLst>
            </c:dLbl>
            <c:dLbl>
              <c:idx val="9"/>
              <c:delete val="1"/>
              <c:extLst>
                <c:ext xmlns:c15="http://schemas.microsoft.com/office/drawing/2012/chart" uri="{CE6537A1-D6FC-4f65-9D91-7224C49458BB}"/>
                <c:ext xmlns:c16="http://schemas.microsoft.com/office/drawing/2014/chart" uri="{C3380CC4-5D6E-409C-BE32-E72D297353CC}">
                  <c16:uniqueId val="{00000010-7917-2A44-8A83-64DDB2332D6B}"/>
                </c:ext>
              </c:extLst>
            </c:dLbl>
            <c:spPr>
              <a:noFill/>
              <a:ln>
                <a:noFill/>
              </a:ln>
              <a:effectLst/>
            </c:spPr>
            <c:txPr>
              <a:bodyPr wrap="square" lIns="38100" tIns="19050" rIns="38100" bIns="19050" anchor="ctr">
                <a:spAutoFit/>
              </a:bodyPr>
              <a:lstStyle/>
              <a:p>
                <a:pPr>
                  <a:defRPr sz="800" b="1">
                    <a:solidFill>
                      <a:schemeClr val="bg1"/>
                    </a:solidFill>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Graficas!$B$225:$L$225</c:f>
              <c:strCache>
                <c:ptCount val="11"/>
                <c:pt idx="0">
                  <c:v>Falta de información / no conocer bien el proceso</c:v>
                </c:pt>
                <c:pt idx="1">
                  <c:v>Desconfianza para trabajar en conjunto</c:v>
                </c:pt>
                <c:pt idx="2">
                  <c:v>Falta de claridad en condiciones y reglas</c:v>
                </c:pt>
                <c:pt idx="3">
                  <c:v>Problemas legales o jurídicos del predio</c:v>
                </c:pt>
                <c:pt idx="4">
                  <c:v>Tener que esperar más de un año para beneficios</c:v>
                </c:pt>
                <c:pt idx="5">
                  <c:v>Opinión de la familia</c:v>
                </c:pt>
                <c:pt idx="6">
                  <c:v>Depender de ingresos actuales del predio</c:v>
                </c:pt>
                <c:pt idx="7">
                  <c:v>Deseo de quedarse por relaciones sociales</c:v>
                </c:pt>
                <c:pt idx="8">
                  <c:v>Falta de experiencia en negocios inmobiliarios</c:v>
                </c:pt>
                <c:pt idx="9">
                  <c:v>Temor a irse y no encontrar lugar adecuado</c:v>
                </c:pt>
                <c:pt idx="10">
                  <c:v>Temor a que el proyecto no se concrete / no sea rentable</c:v>
                </c:pt>
              </c:strCache>
            </c:strRef>
          </c:cat>
          <c:val>
            <c:numRef>
              <c:f>Graficas!$B$230:$L$230</c:f>
              <c:numCache>
                <c:formatCode>General</c:formatCode>
                <c:ptCount val="11"/>
                <c:pt idx="0">
                  <c:v>0</c:v>
                </c:pt>
                <c:pt idx="1">
                  <c:v>2</c:v>
                </c:pt>
                <c:pt idx="2">
                  <c:v>0</c:v>
                </c:pt>
                <c:pt idx="3">
                  <c:v>0</c:v>
                </c:pt>
                <c:pt idx="4">
                  <c:v>0</c:v>
                </c:pt>
                <c:pt idx="5">
                  <c:v>0</c:v>
                </c:pt>
                <c:pt idx="6">
                  <c:v>0</c:v>
                </c:pt>
                <c:pt idx="7">
                  <c:v>0</c:v>
                </c:pt>
                <c:pt idx="8">
                  <c:v>0</c:v>
                </c:pt>
                <c:pt idx="9">
                  <c:v>0</c:v>
                </c:pt>
                <c:pt idx="10">
                  <c:v>1</c:v>
                </c:pt>
              </c:numCache>
            </c:numRef>
          </c:val>
          <c:extLst>
            <c:ext xmlns:c16="http://schemas.microsoft.com/office/drawing/2014/chart" uri="{C3380CC4-5D6E-409C-BE32-E72D297353CC}">
              <c16:uniqueId val="{00000011-7917-2A44-8A83-64DDB2332D6B}"/>
            </c:ext>
          </c:extLst>
        </c:ser>
        <c:dLbls>
          <c:showLegendKey val="0"/>
          <c:showVal val="0"/>
          <c:showCatName val="0"/>
          <c:showSerName val="0"/>
          <c:showPercent val="0"/>
          <c:showBubbleSize val="0"/>
        </c:dLbls>
        <c:gapWidth val="150"/>
        <c:overlap val="100"/>
        <c:axId val="10"/>
        <c:axId val="100"/>
      </c:barChart>
      <c:catAx>
        <c:axId val="10"/>
        <c:scaling>
          <c:orientation val="minMax"/>
        </c:scaling>
        <c:delete val="0"/>
        <c:axPos val="b"/>
        <c:numFmt formatCode="General" sourceLinked="1"/>
        <c:majorTickMark val="none"/>
        <c:minorTickMark val="none"/>
        <c:tickLblPos val="nextTo"/>
        <c:txPr>
          <a:bodyPr/>
          <a:lstStyle/>
          <a:p>
            <a:pPr>
              <a:defRPr sz="500">
                <a:latin typeface="Dosis" pitchFamily="2" charset="77"/>
              </a:defRPr>
            </a:pPr>
            <a:endParaRPr lang="es-CO"/>
          </a:p>
        </c:txPr>
        <c:crossAx val="100"/>
        <c:crosses val="autoZero"/>
        <c:auto val="0"/>
        <c:lblAlgn val="ctr"/>
        <c:lblOffset val="100"/>
        <c:noMultiLvlLbl val="0"/>
      </c:catAx>
      <c:valAx>
        <c:axId val="100"/>
        <c:scaling>
          <c:orientation val="minMax"/>
        </c:scaling>
        <c:delete val="1"/>
        <c:axPos val="l"/>
        <c:majorGridlines/>
        <c:numFmt formatCode="0%" sourceLinked="1"/>
        <c:majorTickMark val="none"/>
        <c:minorTickMark val="none"/>
        <c:tickLblPos val="nextTo"/>
        <c:crossAx val="10"/>
        <c:crosses val="autoZero"/>
        <c:crossBetween val="between"/>
      </c:valAx>
    </c:plotArea>
    <c:legend>
      <c:legendPos val="r"/>
      <c:overlay val="0"/>
      <c:txPr>
        <a:bodyPr/>
        <a:lstStyle/>
        <a:p>
          <a:pPr>
            <a:defRPr sz="700">
              <a:latin typeface="Dosis" pitchFamily="2" charset="77"/>
            </a:defRPr>
          </a:pPr>
          <a:endParaRPr lang="es-CO"/>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Prioridades personales frente a la transformación del sector</a:t>
            </a:r>
          </a:p>
        </c:rich>
      </c:tx>
      <c:overlay val="0"/>
    </c:title>
    <c:autoTitleDeleted val="0"/>
    <c:plotArea>
      <c:layout/>
      <c:barChart>
        <c:barDir val="col"/>
        <c:grouping val="clustered"/>
        <c:varyColors val="0"/>
        <c:ser>
          <c:idx val="0"/>
          <c:order val="0"/>
          <c:tx>
            <c:strRef>
              <c:f>Graficas!$A$251</c:f>
              <c:strCache>
                <c:ptCount val="1"/>
                <c:pt idx="0">
                  <c:v>Nada importante</c:v>
                </c:pt>
              </c:strCache>
            </c:strRef>
          </c:tx>
          <c:spPr>
            <a:solidFill>
              <a:srgbClr val="C00000"/>
            </a:solidFill>
            <a:ln>
              <a:prstDash val="solid"/>
            </a:ln>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Graficas!$B$250:$F$250</c:f>
              <c:strCache>
                <c:ptCount val="5"/>
                <c:pt idx="0">
                  <c:v>Mantener cercanía a red de apoyo</c:v>
                </c:pt>
                <c:pt idx="1">
                  <c:v>Mejorar ingresos / estabilidad económica</c:v>
                </c:pt>
                <c:pt idx="2">
                  <c:v>Mejorar calidad de la vivienda</c:v>
                </c:pt>
                <c:pt idx="3">
                  <c:v>Tener claridad jurídica sobre el predio</c:v>
                </c:pt>
                <c:pt idx="4">
                  <c:v>Mantener posibilidad de actividades económicas</c:v>
                </c:pt>
              </c:strCache>
            </c:strRef>
          </c:cat>
          <c:val>
            <c:numRef>
              <c:f>Graficas!$B$251:$F$251</c:f>
              <c:numCache>
                <c:formatCode>General</c:formatCode>
                <c:ptCount val="5"/>
                <c:pt idx="0">
                  <c:v>2</c:v>
                </c:pt>
                <c:pt idx="1">
                  <c:v>1</c:v>
                </c:pt>
                <c:pt idx="2">
                  <c:v>2</c:v>
                </c:pt>
                <c:pt idx="3">
                  <c:v>1</c:v>
                </c:pt>
                <c:pt idx="4">
                  <c:v>1</c:v>
                </c:pt>
              </c:numCache>
            </c:numRef>
          </c:val>
          <c:extLst>
            <c:ext xmlns:c16="http://schemas.microsoft.com/office/drawing/2014/chart" uri="{C3380CC4-5D6E-409C-BE32-E72D297353CC}">
              <c16:uniqueId val="{00000000-E037-EB48-97CB-C945FD99084B}"/>
            </c:ext>
          </c:extLst>
        </c:ser>
        <c:ser>
          <c:idx val="1"/>
          <c:order val="1"/>
          <c:tx>
            <c:strRef>
              <c:f>Graficas!$A$252</c:f>
              <c:strCache>
                <c:ptCount val="1"/>
                <c:pt idx="0">
                  <c:v>Poco importante</c:v>
                </c:pt>
              </c:strCache>
            </c:strRef>
          </c:tx>
          <c:spPr>
            <a:solidFill>
              <a:srgbClr val="FFC000"/>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Graficas!$B$250:$F$250</c:f>
              <c:strCache>
                <c:ptCount val="5"/>
                <c:pt idx="0">
                  <c:v>Mantener cercanía a red de apoyo</c:v>
                </c:pt>
                <c:pt idx="1">
                  <c:v>Mejorar ingresos / estabilidad económica</c:v>
                </c:pt>
                <c:pt idx="2">
                  <c:v>Mejorar calidad de la vivienda</c:v>
                </c:pt>
                <c:pt idx="3">
                  <c:v>Tener claridad jurídica sobre el predio</c:v>
                </c:pt>
                <c:pt idx="4">
                  <c:v>Mantener posibilidad de actividades económicas</c:v>
                </c:pt>
              </c:strCache>
            </c:strRef>
          </c:cat>
          <c:val>
            <c:numRef>
              <c:f>Graficas!$B$252:$F$252</c:f>
              <c:numCache>
                <c:formatCode>General</c:formatCode>
                <c:ptCount val="5"/>
                <c:pt idx="0">
                  <c:v>1</c:v>
                </c:pt>
                <c:pt idx="1">
                  <c:v>0</c:v>
                </c:pt>
                <c:pt idx="2">
                  <c:v>1</c:v>
                </c:pt>
                <c:pt idx="3">
                  <c:v>0</c:v>
                </c:pt>
                <c:pt idx="4">
                  <c:v>0</c:v>
                </c:pt>
              </c:numCache>
            </c:numRef>
          </c:val>
          <c:extLst>
            <c:ext xmlns:c16="http://schemas.microsoft.com/office/drawing/2014/chart" uri="{C3380CC4-5D6E-409C-BE32-E72D297353CC}">
              <c16:uniqueId val="{00000001-E037-EB48-97CB-C945FD99084B}"/>
            </c:ext>
          </c:extLst>
        </c:ser>
        <c:ser>
          <c:idx val="2"/>
          <c:order val="2"/>
          <c:tx>
            <c:strRef>
              <c:f>Graficas!$A$253</c:f>
              <c:strCache>
                <c:ptCount val="1"/>
                <c:pt idx="0">
                  <c:v>Algo importante</c:v>
                </c:pt>
              </c:strCache>
            </c:strRef>
          </c:tx>
          <c:spPr>
            <a:solidFill>
              <a:schemeClr val="accent5"/>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Graficas!$B$250:$F$250</c:f>
              <c:strCache>
                <c:ptCount val="5"/>
                <c:pt idx="0">
                  <c:v>Mantener cercanía a red de apoyo</c:v>
                </c:pt>
                <c:pt idx="1">
                  <c:v>Mejorar ingresos / estabilidad económica</c:v>
                </c:pt>
                <c:pt idx="2">
                  <c:v>Mejorar calidad de la vivienda</c:v>
                </c:pt>
                <c:pt idx="3">
                  <c:v>Tener claridad jurídica sobre el predio</c:v>
                </c:pt>
                <c:pt idx="4">
                  <c:v>Mantener posibilidad de actividades económicas</c:v>
                </c:pt>
              </c:strCache>
            </c:strRef>
          </c:cat>
          <c:val>
            <c:numRef>
              <c:f>Graficas!$B$253:$F$253</c:f>
              <c:numCache>
                <c:formatCode>General</c:formatCode>
                <c:ptCount val="5"/>
                <c:pt idx="0">
                  <c:v>2</c:v>
                </c:pt>
                <c:pt idx="1">
                  <c:v>0</c:v>
                </c:pt>
                <c:pt idx="2">
                  <c:v>1</c:v>
                </c:pt>
                <c:pt idx="3">
                  <c:v>1</c:v>
                </c:pt>
                <c:pt idx="4">
                  <c:v>0</c:v>
                </c:pt>
              </c:numCache>
            </c:numRef>
          </c:val>
          <c:extLst>
            <c:ext xmlns:c16="http://schemas.microsoft.com/office/drawing/2014/chart" uri="{C3380CC4-5D6E-409C-BE32-E72D297353CC}">
              <c16:uniqueId val="{00000002-E037-EB48-97CB-C945FD99084B}"/>
            </c:ext>
          </c:extLst>
        </c:ser>
        <c:ser>
          <c:idx val="3"/>
          <c:order val="3"/>
          <c:tx>
            <c:strRef>
              <c:f>Graficas!$A$254</c:f>
              <c:strCache>
                <c:ptCount val="1"/>
                <c:pt idx="0">
                  <c:v>Importante</c:v>
                </c:pt>
              </c:strCache>
            </c:strRef>
          </c:tx>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Graficas!$B$250:$F$250</c:f>
              <c:strCache>
                <c:ptCount val="5"/>
                <c:pt idx="0">
                  <c:v>Mantener cercanía a red de apoyo</c:v>
                </c:pt>
                <c:pt idx="1">
                  <c:v>Mejorar ingresos / estabilidad económica</c:v>
                </c:pt>
                <c:pt idx="2">
                  <c:v>Mejorar calidad de la vivienda</c:v>
                </c:pt>
                <c:pt idx="3">
                  <c:v>Tener claridad jurídica sobre el predio</c:v>
                </c:pt>
                <c:pt idx="4">
                  <c:v>Mantener posibilidad de actividades económicas</c:v>
                </c:pt>
              </c:strCache>
            </c:strRef>
          </c:cat>
          <c:val>
            <c:numRef>
              <c:f>Graficas!$B$254:$F$254</c:f>
              <c:numCache>
                <c:formatCode>General</c:formatCode>
                <c:ptCount val="5"/>
                <c:pt idx="0">
                  <c:v>3</c:v>
                </c:pt>
                <c:pt idx="1">
                  <c:v>5</c:v>
                </c:pt>
                <c:pt idx="2">
                  <c:v>5</c:v>
                </c:pt>
                <c:pt idx="3">
                  <c:v>4</c:v>
                </c:pt>
                <c:pt idx="4">
                  <c:v>5</c:v>
                </c:pt>
              </c:numCache>
            </c:numRef>
          </c:val>
          <c:extLst>
            <c:ext xmlns:c16="http://schemas.microsoft.com/office/drawing/2014/chart" uri="{C3380CC4-5D6E-409C-BE32-E72D297353CC}">
              <c16:uniqueId val="{00000003-E037-EB48-97CB-C945FD99084B}"/>
            </c:ext>
          </c:extLst>
        </c:ser>
        <c:ser>
          <c:idx val="4"/>
          <c:order val="4"/>
          <c:tx>
            <c:strRef>
              <c:f>Graficas!$A$255</c:f>
              <c:strCache>
                <c:ptCount val="1"/>
                <c:pt idx="0">
                  <c:v>Muy importante</c:v>
                </c:pt>
              </c:strCache>
            </c:strRef>
          </c:tx>
          <c:spPr>
            <a:solidFill>
              <a:schemeClr val="accent6"/>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Graficas!$B$250:$F$250</c:f>
              <c:strCache>
                <c:ptCount val="5"/>
                <c:pt idx="0">
                  <c:v>Mantener cercanía a red de apoyo</c:v>
                </c:pt>
                <c:pt idx="1">
                  <c:v>Mejorar ingresos / estabilidad económica</c:v>
                </c:pt>
                <c:pt idx="2">
                  <c:v>Mejorar calidad de la vivienda</c:v>
                </c:pt>
                <c:pt idx="3">
                  <c:v>Tener claridad jurídica sobre el predio</c:v>
                </c:pt>
                <c:pt idx="4">
                  <c:v>Mantener posibilidad de actividades económicas</c:v>
                </c:pt>
              </c:strCache>
            </c:strRef>
          </c:cat>
          <c:val>
            <c:numRef>
              <c:f>Graficas!$B$255:$F$255</c:f>
              <c:numCache>
                <c:formatCode>General</c:formatCode>
                <c:ptCount val="5"/>
                <c:pt idx="0">
                  <c:v>7</c:v>
                </c:pt>
                <c:pt idx="1">
                  <c:v>9</c:v>
                </c:pt>
                <c:pt idx="2">
                  <c:v>6</c:v>
                </c:pt>
                <c:pt idx="3">
                  <c:v>9</c:v>
                </c:pt>
                <c:pt idx="4">
                  <c:v>9</c:v>
                </c:pt>
              </c:numCache>
            </c:numRef>
          </c:val>
          <c:extLst>
            <c:ext xmlns:c16="http://schemas.microsoft.com/office/drawing/2014/chart" uri="{C3380CC4-5D6E-409C-BE32-E72D297353CC}">
              <c16:uniqueId val="{00000004-E037-EB48-97CB-C945FD99084B}"/>
            </c:ext>
          </c:extLst>
        </c:ser>
        <c:ser>
          <c:idx val="5"/>
          <c:order val="5"/>
          <c:tx>
            <c:strRef>
              <c:f>Graficas!$A$256</c:f>
              <c:strCache>
                <c:ptCount val="1"/>
                <c:pt idx="0">
                  <c:v>No responde</c:v>
                </c:pt>
              </c:strCache>
            </c:strRef>
          </c:tx>
          <c:invertIfNegative val="0"/>
          <c:cat>
            <c:strRef>
              <c:f>Graficas!$B$250:$F$250</c:f>
              <c:strCache>
                <c:ptCount val="5"/>
                <c:pt idx="0">
                  <c:v>Mantener cercanía a red de apoyo</c:v>
                </c:pt>
                <c:pt idx="1">
                  <c:v>Mejorar ingresos / estabilidad económica</c:v>
                </c:pt>
                <c:pt idx="2">
                  <c:v>Mejorar calidad de la vivienda</c:v>
                </c:pt>
                <c:pt idx="3">
                  <c:v>Tener claridad jurídica sobre el predio</c:v>
                </c:pt>
                <c:pt idx="4">
                  <c:v>Mantener posibilidad de actividades económicas</c:v>
                </c:pt>
              </c:strCache>
            </c:strRef>
          </c:cat>
          <c:val>
            <c:numRef>
              <c:f>Graficas!$B$256:$F$256</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5-E037-EB48-97CB-C945FD99084B}"/>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9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legend>
      <c:legendPos val="r"/>
      <c:overlay val="0"/>
      <c:txPr>
        <a:bodyPr/>
        <a:lstStyle/>
        <a:p>
          <a:pPr>
            <a:defRPr sz="800">
              <a:latin typeface="Dosis" pitchFamily="2" charset="77"/>
            </a:defRPr>
          </a:pPr>
          <a:endParaRPr lang="es-CO"/>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latin typeface="Dosis" pitchFamily="2" charset="77"/>
              </a:defRPr>
            </a:pPr>
            <a:r>
              <a:rPr lang="es-CO" sz="1600">
                <a:latin typeface="Dosis" pitchFamily="2" charset="77"/>
              </a:rPr>
              <a:t>Ejercicio Preferencias Declaradas</a:t>
            </a:r>
          </a:p>
        </c:rich>
      </c:tx>
      <c:overlay val="0"/>
    </c:title>
    <c:autoTitleDeleted val="0"/>
    <c:plotArea>
      <c:layout/>
      <c:barChart>
        <c:barDir val="col"/>
        <c:grouping val="clustered"/>
        <c:varyColors val="0"/>
        <c:ser>
          <c:idx val="0"/>
          <c:order val="0"/>
          <c:tx>
            <c:strRef>
              <c:f>Graficas!$A$285</c:f>
              <c:strCache>
                <c:ptCount val="1"/>
                <c:pt idx="0">
                  <c:v>A</c:v>
                </c:pt>
              </c:strCache>
            </c:strRef>
          </c:tx>
          <c:spPr>
            <a:solidFill>
              <a:schemeClr val="accent6"/>
            </a:solidFill>
            <a:ln>
              <a:prstDash val="solid"/>
            </a:ln>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Graficas!$B$284:$G$284</c:f>
              <c:strCache>
                <c:ptCount val="6"/>
                <c:pt idx="0">
                  <c:v>Ficha 1</c:v>
                </c:pt>
                <c:pt idx="1">
                  <c:v>Ficha 2</c:v>
                </c:pt>
                <c:pt idx="2">
                  <c:v>Ficha 3</c:v>
                </c:pt>
                <c:pt idx="3">
                  <c:v>Ficha 4</c:v>
                </c:pt>
                <c:pt idx="4">
                  <c:v>Ficha 5</c:v>
                </c:pt>
                <c:pt idx="5">
                  <c:v>Ficha 6</c:v>
                </c:pt>
              </c:strCache>
            </c:strRef>
          </c:cat>
          <c:val>
            <c:numRef>
              <c:f>Graficas!$B$285:$G$285</c:f>
              <c:numCache>
                <c:formatCode>General</c:formatCode>
                <c:ptCount val="6"/>
                <c:pt idx="0">
                  <c:v>6</c:v>
                </c:pt>
                <c:pt idx="1">
                  <c:v>7</c:v>
                </c:pt>
                <c:pt idx="2">
                  <c:v>8</c:v>
                </c:pt>
                <c:pt idx="3">
                  <c:v>10</c:v>
                </c:pt>
                <c:pt idx="4">
                  <c:v>9</c:v>
                </c:pt>
                <c:pt idx="5">
                  <c:v>9</c:v>
                </c:pt>
              </c:numCache>
            </c:numRef>
          </c:val>
          <c:extLst>
            <c:ext xmlns:c16="http://schemas.microsoft.com/office/drawing/2014/chart" uri="{C3380CC4-5D6E-409C-BE32-E72D297353CC}">
              <c16:uniqueId val="{00000000-5F0A-1A41-AD9C-3366D85C5B64}"/>
            </c:ext>
          </c:extLst>
        </c:ser>
        <c:ser>
          <c:idx val="1"/>
          <c:order val="1"/>
          <c:tx>
            <c:strRef>
              <c:f>Graficas!$A$286</c:f>
              <c:strCache>
                <c:ptCount val="1"/>
                <c:pt idx="0">
                  <c:v>B</c:v>
                </c:pt>
              </c:strCache>
            </c:strRef>
          </c:tx>
          <c:spPr>
            <a:solidFill>
              <a:srgbClr val="FFC000"/>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Graficas!$B$284:$G$284</c:f>
              <c:strCache>
                <c:ptCount val="6"/>
                <c:pt idx="0">
                  <c:v>Ficha 1</c:v>
                </c:pt>
                <c:pt idx="1">
                  <c:v>Ficha 2</c:v>
                </c:pt>
                <c:pt idx="2">
                  <c:v>Ficha 3</c:v>
                </c:pt>
                <c:pt idx="3">
                  <c:v>Ficha 4</c:v>
                </c:pt>
                <c:pt idx="4">
                  <c:v>Ficha 5</c:v>
                </c:pt>
                <c:pt idx="5">
                  <c:v>Ficha 6</c:v>
                </c:pt>
              </c:strCache>
            </c:strRef>
          </c:cat>
          <c:val>
            <c:numRef>
              <c:f>Graficas!$B$286:$G$286</c:f>
              <c:numCache>
                <c:formatCode>General</c:formatCode>
                <c:ptCount val="6"/>
                <c:pt idx="0">
                  <c:v>6</c:v>
                </c:pt>
                <c:pt idx="1">
                  <c:v>5</c:v>
                </c:pt>
                <c:pt idx="2">
                  <c:v>4</c:v>
                </c:pt>
                <c:pt idx="3">
                  <c:v>1</c:v>
                </c:pt>
                <c:pt idx="4">
                  <c:v>1</c:v>
                </c:pt>
                <c:pt idx="5">
                  <c:v>3</c:v>
                </c:pt>
              </c:numCache>
            </c:numRef>
          </c:val>
          <c:extLst>
            <c:ext xmlns:c16="http://schemas.microsoft.com/office/drawing/2014/chart" uri="{C3380CC4-5D6E-409C-BE32-E72D297353CC}">
              <c16:uniqueId val="{00000001-5F0A-1A41-AD9C-3366D85C5B64}"/>
            </c:ext>
          </c:extLst>
        </c:ser>
        <c:ser>
          <c:idx val="2"/>
          <c:order val="2"/>
          <c:tx>
            <c:strRef>
              <c:f>Graficas!$A$287</c:f>
              <c:strCache>
                <c:ptCount val="1"/>
                <c:pt idx="0">
                  <c:v>No responde</c:v>
                </c:pt>
              </c:strCache>
            </c:strRef>
          </c:tx>
          <c:spPr>
            <a:solidFill>
              <a:srgbClr val="C00000"/>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Graficas!$B$284:$G$284</c:f>
              <c:strCache>
                <c:ptCount val="6"/>
                <c:pt idx="0">
                  <c:v>Ficha 1</c:v>
                </c:pt>
                <c:pt idx="1">
                  <c:v>Ficha 2</c:v>
                </c:pt>
                <c:pt idx="2">
                  <c:v>Ficha 3</c:v>
                </c:pt>
                <c:pt idx="3">
                  <c:v>Ficha 4</c:v>
                </c:pt>
                <c:pt idx="4">
                  <c:v>Ficha 5</c:v>
                </c:pt>
                <c:pt idx="5">
                  <c:v>Ficha 6</c:v>
                </c:pt>
              </c:strCache>
            </c:strRef>
          </c:cat>
          <c:val>
            <c:numRef>
              <c:f>Graficas!$B$287:$G$287</c:f>
              <c:numCache>
                <c:formatCode>General</c:formatCode>
                <c:ptCount val="6"/>
                <c:pt idx="0">
                  <c:v>3</c:v>
                </c:pt>
                <c:pt idx="1">
                  <c:v>3</c:v>
                </c:pt>
                <c:pt idx="2">
                  <c:v>3</c:v>
                </c:pt>
                <c:pt idx="3">
                  <c:v>4</c:v>
                </c:pt>
                <c:pt idx="4">
                  <c:v>5</c:v>
                </c:pt>
                <c:pt idx="5">
                  <c:v>3</c:v>
                </c:pt>
              </c:numCache>
            </c:numRef>
          </c:val>
          <c:extLst>
            <c:ext xmlns:c16="http://schemas.microsoft.com/office/drawing/2014/chart" uri="{C3380CC4-5D6E-409C-BE32-E72D297353CC}">
              <c16:uniqueId val="{00000002-5F0A-1A41-AD9C-3366D85C5B64}"/>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legend>
      <c:legendPos val="r"/>
      <c:overlay val="0"/>
      <c:txPr>
        <a:bodyPr/>
        <a:lstStyle/>
        <a:p>
          <a:pPr>
            <a:defRPr>
              <a:latin typeface="Dosis" pitchFamily="2" charset="77"/>
            </a:defRPr>
          </a:pPr>
          <a:endParaRPr lang="es-CO"/>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dk1"/>
                </a:solidFill>
                <a:latin typeface="Dosis" pitchFamily="2" charset="77"/>
                <a:ea typeface="+mn-ea"/>
                <a:cs typeface="+mn-cs"/>
              </a:defRPr>
            </a:pPr>
            <a:r>
              <a:rPr lang="es-CO" b="1">
                <a:latin typeface="Dosis" pitchFamily="2" charset="77"/>
              </a:rPr>
              <a:t>Percepción de impactos en el entorno</a:t>
            </a:r>
            <a:endParaRPr lang="es-MX" b="1">
              <a:latin typeface="Dosis" pitchFamily="2" charset="77"/>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dk1"/>
              </a:solidFill>
              <a:latin typeface="Dosis" pitchFamily="2" charset="77"/>
              <a:ea typeface="+mn-ea"/>
              <a:cs typeface="+mn-cs"/>
            </a:defRPr>
          </a:pPr>
          <a:endParaRPr lang="es-MX"/>
        </a:p>
      </c:txPr>
    </c:title>
    <c:autoTitleDeleted val="0"/>
    <c:plotArea>
      <c:layout/>
      <c:barChart>
        <c:barDir val="col"/>
        <c:grouping val="clustered"/>
        <c:varyColors val="0"/>
        <c:ser>
          <c:idx val="0"/>
          <c:order val="0"/>
          <c:tx>
            <c:strRef>
              <c:f>Graficas!$A$22</c:f>
              <c:strCache>
                <c:ptCount val="1"/>
                <c:pt idx="0">
                  <c:v>Muy Negativo</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solidFill>
                    <a:latin typeface="Dosis"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Graficas!$B$21:$E$21</c:f>
              <c:strCache>
                <c:ptCount val="4"/>
                <c:pt idx="0">
                  <c:v>Ruido</c:v>
                </c:pt>
                <c:pt idx="1">
                  <c:v>Contaminación Aire</c:v>
                </c:pt>
                <c:pt idx="2">
                  <c:v>Tráfico vehicular</c:v>
                </c:pt>
                <c:pt idx="3">
                  <c:v>Tráfico de carga</c:v>
                </c:pt>
              </c:strCache>
            </c:strRef>
          </c:cat>
          <c:val>
            <c:numRef>
              <c:f>Graficas!$B$22:$E$22</c:f>
              <c:numCache>
                <c:formatCode>General</c:formatCode>
                <c:ptCount val="4"/>
                <c:pt idx="0">
                  <c:v>5</c:v>
                </c:pt>
                <c:pt idx="1">
                  <c:v>7</c:v>
                </c:pt>
                <c:pt idx="2">
                  <c:v>7</c:v>
                </c:pt>
                <c:pt idx="3">
                  <c:v>7</c:v>
                </c:pt>
              </c:numCache>
            </c:numRef>
          </c:val>
          <c:extLst>
            <c:ext xmlns:c16="http://schemas.microsoft.com/office/drawing/2014/chart" uri="{C3380CC4-5D6E-409C-BE32-E72D297353CC}">
              <c16:uniqueId val="{00000000-25B3-0E42-813D-CA14E753ABBF}"/>
            </c:ext>
          </c:extLst>
        </c:ser>
        <c:ser>
          <c:idx val="1"/>
          <c:order val="1"/>
          <c:tx>
            <c:strRef>
              <c:f>Graficas!$A$23</c:f>
              <c:strCache>
                <c:ptCount val="1"/>
                <c:pt idx="0">
                  <c:v>Negativo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solidFill>
                    <a:latin typeface="Dosis"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Graficas!$B$21:$E$21</c:f>
              <c:strCache>
                <c:ptCount val="4"/>
                <c:pt idx="0">
                  <c:v>Ruido</c:v>
                </c:pt>
                <c:pt idx="1">
                  <c:v>Contaminación Aire</c:v>
                </c:pt>
                <c:pt idx="2">
                  <c:v>Tráfico vehicular</c:v>
                </c:pt>
                <c:pt idx="3">
                  <c:v>Tráfico de carga</c:v>
                </c:pt>
              </c:strCache>
            </c:strRef>
          </c:cat>
          <c:val>
            <c:numRef>
              <c:f>Graficas!$B$23:$E$23</c:f>
              <c:numCache>
                <c:formatCode>General</c:formatCode>
                <c:ptCount val="4"/>
                <c:pt idx="0">
                  <c:v>0</c:v>
                </c:pt>
                <c:pt idx="1">
                  <c:v>0</c:v>
                </c:pt>
                <c:pt idx="2">
                  <c:v>0</c:v>
                </c:pt>
                <c:pt idx="3">
                  <c:v>0</c:v>
                </c:pt>
              </c:numCache>
            </c:numRef>
          </c:val>
          <c:extLst>
            <c:ext xmlns:c16="http://schemas.microsoft.com/office/drawing/2014/chart" uri="{C3380CC4-5D6E-409C-BE32-E72D297353CC}">
              <c16:uniqueId val="{00000001-25B3-0E42-813D-CA14E753ABBF}"/>
            </c:ext>
          </c:extLst>
        </c:ser>
        <c:ser>
          <c:idx val="2"/>
          <c:order val="2"/>
          <c:tx>
            <c:strRef>
              <c:f>Graficas!$A$24</c:f>
              <c:strCache>
                <c:ptCount val="1"/>
                <c:pt idx="0">
                  <c:v>Ni positivo ni negativo</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solidFill>
                    <a:latin typeface="Dosis"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Graficas!$B$21:$E$21</c:f>
              <c:strCache>
                <c:ptCount val="4"/>
                <c:pt idx="0">
                  <c:v>Ruido</c:v>
                </c:pt>
                <c:pt idx="1">
                  <c:v>Contaminación Aire</c:v>
                </c:pt>
                <c:pt idx="2">
                  <c:v>Tráfico vehicular</c:v>
                </c:pt>
                <c:pt idx="3">
                  <c:v>Tráfico de carga</c:v>
                </c:pt>
              </c:strCache>
            </c:strRef>
          </c:cat>
          <c:val>
            <c:numRef>
              <c:f>Graficas!$B$24:$E$24</c:f>
              <c:numCache>
                <c:formatCode>General</c:formatCode>
                <c:ptCount val="4"/>
                <c:pt idx="0">
                  <c:v>3</c:v>
                </c:pt>
                <c:pt idx="1">
                  <c:v>3</c:v>
                </c:pt>
                <c:pt idx="2">
                  <c:v>1</c:v>
                </c:pt>
                <c:pt idx="3">
                  <c:v>1</c:v>
                </c:pt>
              </c:numCache>
            </c:numRef>
          </c:val>
          <c:extLst>
            <c:ext xmlns:c16="http://schemas.microsoft.com/office/drawing/2014/chart" uri="{C3380CC4-5D6E-409C-BE32-E72D297353CC}">
              <c16:uniqueId val="{00000002-25B3-0E42-813D-CA14E753ABBF}"/>
            </c:ext>
          </c:extLst>
        </c:ser>
        <c:ser>
          <c:idx val="3"/>
          <c:order val="3"/>
          <c:tx>
            <c:strRef>
              <c:f>Graficas!$A$25</c:f>
              <c:strCache>
                <c:ptCount val="1"/>
                <c:pt idx="0">
                  <c:v>Positivo</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solidFill>
                    <a:latin typeface="Dosis"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Graficas!$B$21:$E$21</c:f>
              <c:strCache>
                <c:ptCount val="4"/>
                <c:pt idx="0">
                  <c:v>Ruido</c:v>
                </c:pt>
                <c:pt idx="1">
                  <c:v>Contaminación Aire</c:v>
                </c:pt>
                <c:pt idx="2">
                  <c:v>Tráfico vehicular</c:v>
                </c:pt>
                <c:pt idx="3">
                  <c:v>Tráfico de carga</c:v>
                </c:pt>
              </c:strCache>
            </c:strRef>
          </c:cat>
          <c:val>
            <c:numRef>
              <c:f>Graficas!$B$25:$E$25</c:f>
              <c:numCache>
                <c:formatCode>General</c:formatCode>
                <c:ptCount val="4"/>
                <c:pt idx="0">
                  <c:v>1</c:v>
                </c:pt>
                <c:pt idx="1">
                  <c:v>1</c:v>
                </c:pt>
                <c:pt idx="2">
                  <c:v>3</c:v>
                </c:pt>
                <c:pt idx="3">
                  <c:v>1</c:v>
                </c:pt>
              </c:numCache>
            </c:numRef>
          </c:val>
          <c:extLst>
            <c:ext xmlns:c16="http://schemas.microsoft.com/office/drawing/2014/chart" uri="{C3380CC4-5D6E-409C-BE32-E72D297353CC}">
              <c16:uniqueId val="{00000003-25B3-0E42-813D-CA14E753ABBF}"/>
            </c:ext>
          </c:extLst>
        </c:ser>
        <c:ser>
          <c:idx val="4"/>
          <c:order val="4"/>
          <c:tx>
            <c:strRef>
              <c:f>Graficas!$A$26</c:f>
              <c:strCache>
                <c:ptCount val="1"/>
                <c:pt idx="0">
                  <c:v>Muy Positivo</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solidFill>
                    <a:latin typeface="Dosis"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Graficas!$B$21:$E$21</c:f>
              <c:strCache>
                <c:ptCount val="4"/>
                <c:pt idx="0">
                  <c:v>Ruido</c:v>
                </c:pt>
                <c:pt idx="1">
                  <c:v>Contaminación Aire</c:v>
                </c:pt>
                <c:pt idx="2">
                  <c:v>Tráfico vehicular</c:v>
                </c:pt>
                <c:pt idx="3">
                  <c:v>Tráfico de carga</c:v>
                </c:pt>
              </c:strCache>
            </c:strRef>
          </c:cat>
          <c:val>
            <c:numRef>
              <c:f>Graficas!$B$26:$E$26</c:f>
              <c:numCache>
                <c:formatCode>General</c:formatCode>
                <c:ptCount val="4"/>
                <c:pt idx="0">
                  <c:v>0</c:v>
                </c:pt>
                <c:pt idx="1">
                  <c:v>0</c:v>
                </c:pt>
                <c:pt idx="2">
                  <c:v>0</c:v>
                </c:pt>
                <c:pt idx="3">
                  <c:v>0</c:v>
                </c:pt>
              </c:numCache>
            </c:numRef>
          </c:val>
          <c:extLst>
            <c:ext xmlns:c16="http://schemas.microsoft.com/office/drawing/2014/chart" uri="{C3380CC4-5D6E-409C-BE32-E72D297353CC}">
              <c16:uniqueId val="{00000004-25B3-0E42-813D-CA14E753ABBF}"/>
            </c:ext>
          </c:extLst>
        </c:ser>
        <c:ser>
          <c:idx val="5"/>
          <c:order val="5"/>
          <c:tx>
            <c:strRef>
              <c:f>Graficas!$A$27</c:f>
              <c:strCache>
                <c:ptCount val="1"/>
                <c:pt idx="0">
                  <c:v>No responde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solidFill>
                    <a:latin typeface="Dosis"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Graficas!$B$21:$E$21</c:f>
              <c:strCache>
                <c:ptCount val="4"/>
                <c:pt idx="0">
                  <c:v>Ruido</c:v>
                </c:pt>
                <c:pt idx="1">
                  <c:v>Contaminación Aire</c:v>
                </c:pt>
                <c:pt idx="2">
                  <c:v>Tráfico vehicular</c:v>
                </c:pt>
                <c:pt idx="3">
                  <c:v>Tráfico de carga</c:v>
                </c:pt>
              </c:strCache>
            </c:strRef>
          </c:cat>
          <c:val>
            <c:numRef>
              <c:f>Graficas!$B$27:$E$27</c:f>
              <c:numCache>
                <c:formatCode>General</c:formatCode>
                <c:ptCount val="4"/>
                <c:pt idx="0">
                  <c:v>0</c:v>
                </c:pt>
                <c:pt idx="1">
                  <c:v>0</c:v>
                </c:pt>
                <c:pt idx="2">
                  <c:v>0</c:v>
                </c:pt>
                <c:pt idx="3">
                  <c:v>1</c:v>
                </c:pt>
              </c:numCache>
            </c:numRef>
          </c:val>
          <c:extLst>
            <c:ext xmlns:c16="http://schemas.microsoft.com/office/drawing/2014/chart" uri="{C3380CC4-5D6E-409C-BE32-E72D297353CC}">
              <c16:uniqueId val="{00000005-25B3-0E42-813D-CA14E753ABBF}"/>
            </c:ext>
          </c:extLst>
        </c:ser>
        <c:dLbls>
          <c:showLegendKey val="0"/>
          <c:showVal val="0"/>
          <c:showCatName val="0"/>
          <c:showSerName val="0"/>
          <c:showPercent val="0"/>
          <c:showBubbleSize val="0"/>
        </c:dLbls>
        <c:gapWidth val="219"/>
        <c:axId val="1199161791"/>
        <c:axId val="1199176127"/>
      </c:barChart>
      <c:catAx>
        <c:axId val="11991617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Dosis" pitchFamily="2" charset="77"/>
                <a:ea typeface="+mn-ea"/>
                <a:cs typeface="+mn-cs"/>
              </a:defRPr>
            </a:pPr>
            <a:endParaRPr lang="es-CO"/>
          </a:p>
        </c:txPr>
        <c:crossAx val="1199176127"/>
        <c:crosses val="autoZero"/>
        <c:auto val="1"/>
        <c:lblAlgn val="ctr"/>
        <c:lblOffset val="100"/>
        <c:noMultiLvlLbl val="0"/>
      </c:catAx>
      <c:valAx>
        <c:axId val="11991761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Dosis" pitchFamily="2" charset="77"/>
                <a:ea typeface="+mn-ea"/>
                <a:cs typeface="+mn-cs"/>
              </a:defRPr>
            </a:pPr>
            <a:endParaRPr lang="es-CO"/>
          </a:p>
        </c:txPr>
        <c:crossAx val="11991617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Dosis" pitchFamily="2" charset="77"/>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solidFill>
      <a:prstDash val="solid"/>
      <a:round/>
    </a:ln>
    <a:effectLst/>
  </c:spPr>
  <c:txPr>
    <a:bodyPr/>
    <a:lstStyle/>
    <a:p>
      <a:pPr>
        <a:defRPr>
          <a:solidFill>
            <a:schemeClr val="dk1"/>
          </a:solidFill>
          <a:latin typeface="+mn-lt"/>
          <a:ea typeface="+mn-ea"/>
          <a:cs typeface="+mn-cs"/>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Proyectos o actividades más adecuados</a:t>
            </a:r>
          </a:p>
        </c:rich>
      </c:tx>
      <c:overlay val="0"/>
    </c:title>
    <c:autoTitleDeleted val="0"/>
    <c:plotArea>
      <c:layout/>
      <c:barChart>
        <c:barDir val="col"/>
        <c:grouping val="clustered"/>
        <c:varyColors val="0"/>
        <c:ser>
          <c:idx val="0"/>
          <c:order val="0"/>
          <c:tx>
            <c:strRef>
              <c:f>Graficas!$B$74</c:f>
              <c:strCache>
                <c:ptCount val="1"/>
              </c:strCache>
            </c:strRef>
          </c:tx>
          <c:spPr>
            <a:ln>
              <a:prstDash val="solid"/>
            </a:ln>
          </c:spPr>
          <c:invertIfNegative val="0"/>
          <c:dPt>
            <c:idx val="0"/>
            <c:invertIfNegative val="0"/>
            <c:bubble3D val="0"/>
            <c:spPr>
              <a:solidFill>
                <a:srgbClr val="FFC000"/>
              </a:solidFill>
              <a:ln>
                <a:prstDash val="solid"/>
              </a:ln>
            </c:spPr>
            <c:extLst>
              <c:ext xmlns:c16="http://schemas.microsoft.com/office/drawing/2014/chart" uri="{C3380CC4-5D6E-409C-BE32-E72D297353CC}">
                <c16:uniqueId val="{00000001-20CA-8A4B-817F-DA7AC8BD46FA}"/>
              </c:ext>
            </c:extLst>
          </c:dPt>
          <c:dPt>
            <c:idx val="1"/>
            <c:invertIfNegative val="0"/>
            <c:bubble3D val="0"/>
            <c:spPr>
              <a:solidFill>
                <a:schemeClr val="accent6"/>
              </a:solidFill>
              <a:ln>
                <a:prstDash val="solid"/>
              </a:ln>
            </c:spPr>
            <c:extLst>
              <c:ext xmlns:c16="http://schemas.microsoft.com/office/drawing/2014/chart" uri="{C3380CC4-5D6E-409C-BE32-E72D297353CC}">
                <c16:uniqueId val="{00000002-20CA-8A4B-817F-DA7AC8BD46FA}"/>
              </c:ext>
            </c:extLst>
          </c:dPt>
          <c:dPt>
            <c:idx val="2"/>
            <c:invertIfNegative val="0"/>
            <c:bubble3D val="0"/>
            <c:spPr>
              <a:solidFill>
                <a:schemeClr val="accent2"/>
              </a:solidFill>
              <a:ln>
                <a:prstDash val="solid"/>
              </a:ln>
            </c:spPr>
            <c:extLst>
              <c:ext xmlns:c16="http://schemas.microsoft.com/office/drawing/2014/chart" uri="{C3380CC4-5D6E-409C-BE32-E72D297353CC}">
                <c16:uniqueId val="{00000003-20CA-8A4B-817F-DA7AC8BD46FA}"/>
              </c:ext>
            </c:extLst>
          </c:dPt>
          <c:dPt>
            <c:idx val="3"/>
            <c:invertIfNegative val="0"/>
            <c:bubble3D val="0"/>
            <c:spPr>
              <a:solidFill>
                <a:srgbClr val="C00000"/>
              </a:solidFill>
              <a:ln>
                <a:prstDash val="solid"/>
              </a:ln>
            </c:spPr>
            <c:extLst>
              <c:ext xmlns:c16="http://schemas.microsoft.com/office/drawing/2014/chart" uri="{C3380CC4-5D6E-409C-BE32-E72D297353CC}">
                <c16:uniqueId val="{00000004-20CA-8A4B-817F-DA7AC8BD46FA}"/>
              </c:ext>
            </c:extLst>
          </c:dPt>
          <c:dPt>
            <c:idx val="5"/>
            <c:invertIfNegative val="0"/>
            <c:bubble3D val="0"/>
            <c:spPr>
              <a:solidFill>
                <a:schemeClr val="accent5"/>
              </a:solidFill>
              <a:ln>
                <a:prstDash val="solid"/>
              </a:ln>
            </c:spPr>
            <c:extLst>
              <c:ext xmlns:c16="http://schemas.microsoft.com/office/drawing/2014/chart" uri="{C3380CC4-5D6E-409C-BE32-E72D297353CC}">
                <c16:uniqueId val="{00000005-20CA-8A4B-817F-DA7AC8BD46FA}"/>
              </c:ext>
            </c:extLst>
          </c:dPt>
          <c:dPt>
            <c:idx val="6"/>
            <c:invertIfNegative val="0"/>
            <c:bubble3D val="0"/>
            <c:spPr>
              <a:solidFill>
                <a:schemeClr val="accent4"/>
              </a:solidFill>
              <a:ln>
                <a:prstDash val="solid"/>
              </a:ln>
            </c:spPr>
            <c:extLst>
              <c:ext xmlns:c16="http://schemas.microsoft.com/office/drawing/2014/chart" uri="{C3380CC4-5D6E-409C-BE32-E72D297353CC}">
                <c16:uniqueId val="{00000006-20CA-8A4B-817F-DA7AC8BD46FA}"/>
              </c:ext>
            </c:extLst>
          </c:dPt>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Graficas!$A$75:$A$81</c:f>
              <c:strCache>
                <c:ptCount val="7"/>
                <c:pt idx="0">
                  <c:v>Bodegas y actividades logísticas (1=sí, vacío=no)</c:v>
                </c:pt>
                <c:pt idx="1">
                  <c:v>Actividades industriales livianas</c:v>
                </c:pt>
                <c:pt idx="2">
                  <c:v>Comercio y servicios</c:v>
                </c:pt>
                <c:pt idx="3">
                  <c:v>Servicios relacionados con el aeropuerto</c:v>
                </c:pt>
                <c:pt idx="4">
                  <c:v>No le parece adecuado ningún tipo de proyecto </c:v>
                </c:pt>
                <c:pt idx="5">
                  <c:v>No lo sabe / No tiene opinión </c:v>
                </c:pt>
                <c:pt idx="6">
                  <c:v>No responde</c:v>
                </c:pt>
              </c:strCache>
            </c:strRef>
          </c:cat>
          <c:val>
            <c:numRef>
              <c:f>Graficas!$B$75:$B$81</c:f>
              <c:numCache>
                <c:formatCode>General</c:formatCode>
                <c:ptCount val="7"/>
                <c:pt idx="0">
                  <c:v>4</c:v>
                </c:pt>
                <c:pt idx="1">
                  <c:v>4</c:v>
                </c:pt>
                <c:pt idx="2">
                  <c:v>9</c:v>
                </c:pt>
                <c:pt idx="3">
                  <c:v>9</c:v>
                </c:pt>
                <c:pt idx="4">
                  <c:v>0</c:v>
                </c:pt>
                <c:pt idx="5">
                  <c:v>1</c:v>
                </c:pt>
                <c:pt idx="6">
                  <c:v>1</c:v>
                </c:pt>
              </c:numCache>
            </c:numRef>
          </c:val>
          <c:extLst>
            <c:ext xmlns:c16="http://schemas.microsoft.com/office/drawing/2014/chart" uri="{C3380CC4-5D6E-409C-BE32-E72D297353CC}">
              <c16:uniqueId val="{00000000-20CA-8A4B-817F-DA7AC8BD46FA}"/>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8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latin typeface="Dosis" pitchFamily="2" charset="77"/>
              </a:defRPr>
            </a:pPr>
            <a:r>
              <a:rPr lang="es-CO" sz="1600">
                <a:latin typeface="Dosis" pitchFamily="2" charset="77"/>
              </a:rPr>
              <a:t>Conocimiento sobre 'Bogotá Ciudad Aeropuerto'</a:t>
            </a:r>
          </a:p>
        </c:rich>
      </c:tx>
      <c:overlay val="0"/>
    </c:title>
    <c:autoTitleDeleted val="0"/>
    <c:plotArea>
      <c:layout/>
      <c:barChart>
        <c:barDir val="col"/>
        <c:grouping val="clustered"/>
        <c:varyColors val="0"/>
        <c:ser>
          <c:idx val="0"/>
          <c:order val="0"/>
          <c:tx>
            <c:strRef>
              <c:f>Graficas!$B$39</c:f>
              <c:strCache>
                <c:ptCount val="1"/>
                <c:pt idx="0">
                  <c:v>Frecuencia</c:v>
                </c:pt>
              </c:strCache>
            </c:strRef>
          </c:tx>
          <c:spPr>
            <a:ln>
              <a:prstDash val="solid"/>
            </a:ln>
          </c:spPr>
          <c:invertIfNegative val="0"/>
          <c:dPt>
            <c:idx val="0"/>
            <c:invertIfNegative val="0"/>
            <c:bubble3D val="0"/>
            <c:spPr>
              <a:solidFill>
                <a:schemeClr val="accent4"/>
              </a:solidFill>
              <a:ln>
                <a:prstDash val="solid"/>
              </a:ln>
            </c:spPr>
            <c:extLst>
              <c:ext xmlns:c16="http://schemas.microsoft.com/office/drawing/2014/chart" uri="{C3380CC4-5D6E-409C-BE32-E72D297353CC}">
                <c16:uniqueId val="{00000001-9493-D64A-9CB2-A923CAC57847}"/>
              </c:ext>
            </c:extLst>
          </c:dPt>
          <c:dPt>
            <c:idx val="2"/>
            <c:invertIfNegative val="0"/>
            <c:bubble3D val="0"/>
            <c:spPr>
              <a:solidFill>
                <a:schemeClr val="accent5"/>
              </a:solidFill>
              <a:ln>
                <a:prstDash val="solid"/>
              </a:ln>
            </c:spPr>
            <c:extLst>
              <c:ext xmlns:c16="http://schemas.microsoft.com/office/drawing/2014/chart" uri="{C3380CC4-5D6E-409C-BE32-E72D297353CC}">
                <c16:uniqueId val="{00000002-9493-D64A-9CB2-A923CAC57847}"/>
              </c:ext>
            </c:extLst>
          </c:dPt>
          <c:dPt>
            <c:idx val="3"/>
            <c:invertIfNegative val="0"/>
            <c:bubble3D val="0"/>
            <c:spPr>
              <a:solidFill>
                <a:srgbClr val="FFC000"/>
              </a:solidFill>
              <a:ln>
                <a:prstDash val="solid"/>
              </a:ln>
            </c:spPr>
            <c:extLst>
              <c:ext xmlns:c16="http://schemas.microsoft.com/office/drawing/2014/chart" uri="{C3380CC4-5D6E-409C-BE32-E72D297353CC}">
                <c16:uniqueId val="{00000003-9493-D64A-9CB2-A923CAC57847}"/>
              </c:ext>
            </c:extLst>
          </c:dPt>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Graficas!$A$40:$A$44</c:f>
              <c:strCache>
                <c:ptCount val="5"/>
                <c:pt idx="0">
                  <c:v>Nunca había oído del tema</c:v>
                </c:pt>
                <c:pt idx="1">
                  <c:v>Había oído el nombre, pero no sabía de qué se trataba</c:v>
                </c:pt>
                <c:pt idx="2">
                  <c:v>Tenía una idea general, pero sin muchos detalles</c:v>
                </c:pt>
                <c:pt idx="3">
                  <c:v>Tenía buena información y conocía bastante del tema</c:v>
                </c:pt>
                <c:pt idx="4">
                  <c:v>No responde</c:v>
                </c:pt>
              </c:strCache>
            </c:strRef>
          </c:cat>
          <c:val>
            <c:numRef>
              <c:f>Graficas!$B$40:$B$44</c:f>
              <c:numCache>
                <c:formatCode>General</c:formatCode>
                <c:ptCount val="5"/>
                <c:pt idx="0">
                  <c:v>1</c:v>
                </c:pt>
                <c:pt idx="1">
                  <c:v>0</c:v>
                </c:pt>
                <c:pt idx="2">
                  <c:v>7</c:v>
                </c:pt>
                <c:pt idx="3">
                  <c:v>7</c:v>
                </c:pt>
                <c:pt idx="4">
                  <c:v>0</c:v>
                </c:pt>
              </c:numCache>
            </c:numRef>
          </c:val>
          <c:extLst>
            <c:ext xmlns:c16="http://schemas.microsoft.com/office/drawing/2014/chart" uri="{C3380CC4-5D6E-409C-BE32-E72D297353CC}">
              <c16:uniqueId val="{00000000-9493-D64A-9CB2-A923CAC57847}"/>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9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latin typeface="Dosis" pitchFamily="2" charset="77"/>
              </a:defRPr>
            </a:pPr>
            <a:r>
              <a:rPr lang="es-CO" sz="1600">
                <a:latin typeface="Dosis" pitchFamily="2" charset="77"/>
              </a:rPr>
              <a:t>Afirmaciones sobre futuro económico del sector</a:t>
            </a:r>
          </a:p>
        </c:rich>
      </c:tx>
      <c:overlay val="0"/>
    </c:title>
    <c:autoTitleDeleted val="0"/>
    <c:plotArea>
      <c:layout>
        <c:manualLayout>
          <c:layoutTarget val="inner"/>
          <c:xMode val="edge"/>
          <c:yMode val="edge"/>
          <c:x val="5.411474787647471E-2"/>
          <c:y val="0.20683673469387756"/>
          <c:w val="0.71998688554969315"/>
          <c:h val="0.61243130322995343"/>
        </c:manualLayout>
      </c:layout>
      <c:barChart>
        <c:barDir val="col"/>
        <c:grouping val="clustered"/>
        <c:varyColors val="0"/>
        <c:ser>
          <c:idx val="0"/>
          <c:order val="0"/>
          <c:tx>
            <c:strRef>
              <c:f>Graficas!$A$58</c:f>
              <c:strCache>
                <c:ptCount val="1"/>
                <c:pt idx="0">
                  <c:v>Muy en desacuerdo</c:v>
                </c:pt>
              </c:strCache>
            </c:strRef>
          </c:tx>
          <c:spPr>
            <a:solidFill>
              <a:schemeClr val="accent2"/>
            </a:solidFill>
            <a:ln>
              <a:prstDash val="solid"/>
            </a:ln>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Graficas!$B$57:$D$57</c:f>
              <c:strCache>
                <c:ptCount val="3"/>
                <c:pt idx="0">
                  <c:v>Oportunidades de empleo cerca del aeropuerto</c:v>
                </c:pt>
                <c:pt idx="1">
                  <c:v>Aumento del valor de los predios</c:v>
                </c:pt>
                <c:pt idx="2">
                  <c:v>Beneficios para quienes ya viven en el sector</c:v>
                </c:pt>
              </c:strCache>
            </c:strRef>
          </c:cat>
          <c:val>
            <c:numRef>
              <c:f>Graficas!$B$58:$D$58</c:f>
              <c:numCache>
                <c:formatCode>General</c:formatCode>
                <c:ptCount val="3"/>
                <c:pt idx="0">
                  <c:v>1</c:v>
                </c:pt>
                <c:pt idx="1">
                  <c:v>1</c:v>
                </c:pt>
                <c:pt idx="2">
                  <c:v>1</c:v>
                </c:pt>
              </c:numCache>
            </c:numRef>
          </c:val>
          <c:extLst>
            <c:ext xmlns:c16="http://schemas.microsoft.com/office/drawing/2014/chart" uri="{C3380CC4-5D6E-409C-BE32-E72D297353CC}">
              <c16:uniqueId val="{00000000-FEE4-2342-81DB-476C4AA3CEBF}"/>
            </c:ext>
          </c:extLst>
        </c:ser>
        <c:ser>
          <c:idx val="1"/>
          <c:order val="1"/>
          <c:tx>
            <c:strRef>
              <c:f>Graficas!$A$59</c:f>
              <c:strCache>
                <c:ptCount val="1"/>
                <c:pt idx="0">
                  <c:v>En desacuerdo</c:v>
                </c:pt>
              </c:strCache>
            </c:strRef>
          </c:tx>
          <c:spPr>
            <a:solidFill>
              <a:schemeClr val="accent6"/>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Graficas!$B$57:$D$57</c:f>
              <c:strCache>
                <c:ptCount val="3"/>
                <c:pt idx="0">
                  <c:v>Oportunidades de empleo cerca del aeropuerto</c:v>
                </c:pt>
                <c:pt idx="1">
                  <c:v>Aumento del valor de los predios</c:v>
                </c:pt>
                <c:pt idx="2">
                  <c:v>Beneficios para quienes ya viven en el sector</c:v>
                </c:pt>
              </c:strCache>
            </c:strRef>
          </c:cat>
          <c:val>
            <c:numRef>
              <c:f>Graficas!$B$59:$D$59</c:f>
              <c:numCache>
                <c:formatCode>General</c:formatCode>
                <c:ptCount val="3"/>
                <c:pt idx="0">
                  <c:v>1</c:v>
                </c:pt>
                <c:pt idx="1">
                  <c:v>1</c:v>
                </c:pt>
                <c:pt idx="2">
                  <c:v>1</c:v>
                </c:pt>
              </c:numCache>
            </c:numRef>
          </c:val>
          <c:extLst>
            <c:ext xmlns:c16="http://schemas.microsoft.com/office/drawing/2014/chart" uri="{C3380CC4-5D6E-409C-BE32-E72D297353CC}">
              <c16:uniqueId val="{00000001-FEE4-2342-81DB-476C4AA3CEBF}"/>
            </c:ext>
          </c:extLst>
        </c:ser>
        <c:ser>
          <c:idx val="2"/>
          <c:order val="2"/>
          <c:tx>
            <c:strRef>
              <c:f>Graficas!$A$60</c:f>
              <c:strCache>
                <c:ptCount val="1"/>
                <c:pt idx="0">
                  <c:v>Ni en desacuerdo ni de acuerdo</c:v>
                </c:pt>
              </c:strCache>
            </c:strRef>
          </c:tx>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Graficas!$B$57:$D$57</c:f>
              <c:strCache>
                <c:ptCount val="3"/>
                <c:pt idx="0">
                  <c:v>Oportunidades de empleo cerca del aeropuerto</c:v>
                </c:pt>
                <c:pt idx="1">
                  <c:v>Aumento del valor de los predios</c:v>
                </c:pt>
                <c:pt idx="2">
                  <c:v>Beneficios para quienes ya viven en el sector</c:v>
                </c:pt>
              </c:strCache>
            </c:strRef>
          </c:cat>
          <c:val>
            <c:numRef>
              <c:f>Graficas!$B$60:$D$60</c:f>
              <c:numCache>
                <c:formatCode>General</c:formatCode>
                <c:ptCount val="3"/>
                <c:pt idx="0">
                  <c:v>0</c:v>
                </c:pt>
                <c:pt idx="1">
                  <c:v>0</c:v>
                </c:pt>
                <c:pt idx="2">
                  <c:v>0</c:v>
                </c:pt>
              </c:numCache>
            </c:numRef>
          </c:val>
          <c:extLst>
            <c:ext xmlns:c16="http://schemas.microsoft.com/office/drawing/2014/chart" uri="{C3380CC4-5D6E-409C-BE32-E72D297353CC}">
              <c16:uniqueId val="{00000002-FEE4-2342-81DB-476C4AA3CEBF}"/>
            </c:ext>
          </c:extLst>
        </c:ser>
        <c:ser>
          <c:idx val="3"/>
          <c:order val="3"/>
          <c:tx>
            <c:strRef>
              <c:f>Graficas!$A$61</c:f>
              <c:strCache>
                <c:ptCount val="1"/>
                <c:pt idx="0">
                  <c:v>De acuerdo</c:v>
                </c:pt>
              </c:strCache>
            </c:strRef>
          </c:tx>
          <c:spPr>
            <a:solidFill>
              <a:schemeClr val="accent4"/>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Graficas!$B$57:$D$57</c:f>
              <c:strCache>
                <c:ptCount val="3"/>
                <c:pt idx="0">
                  <c:v>Oportunidades de empleo cerca del aeropuerto</c:v>
                </c:pt>
                <c:pt idx="1">
                  <c:v>Aumento del valor de los predios</c:v>
                </c:pt>
                <c:pt idx="2">
                  <c:v>Beneficios para quienes ya viven en el sector</c:v>
                </c:pt>
              </c:strCache>
            </c:strRef>
          </c:cat>
          <c:val>
            <c:numRef>
              <c:f>Graficas!$B$61:$D$61</c:f>
              <c:numCache>
                <c:formatCode>General</c:formatCode>
                <c:ptCount val="3"/>
                <c:pt idx="0">
                  <c:v>9</c:v>
                </c:pt>
                <c:pt idx="1">
                  <c:v>9</c:v>
                </c:pt>
                <c:pt idx="2">
                  <c:v>10</c:v>
                </c:pt>
              </c:numCache>
            </c:numRef>
          </c:val>
          <c:extLst>
            <c:ext xmlns:c16="http://schemas.microsoft.com/office/drawing/2014/chart" uri="{C3380CC4-5D6E-409C-BE32-E72D297353CC}">
              <c16:uniqueId val="{00000003-FEE4-2342-81DB-476C4AA3CEBF}"/>
            </c:ext>
          </c:extLst>
        </c:ser>
        <c:ser>
          <c:idx val="4"/>
          <c:order val="4"/>
          <c:tx>
            <c:strRef>
              <c:f>Graficas!$A$62</c:f>
              <c:strCache>
                <c:ptCount val="1"/>
                <c:pt idx="0">
                  <c:v>Muy de acuerdo</c:v>
                </c:pt>
              </c:strCache>
            </c:strRef>
          </c:tx>
          <c:spPr>
            <a:solidFill>
              <a:schemeClr val="accent5"/>
            </a:solidFill>
          </c:spPr>
          <c:invertIfNegative val="0"/>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Graficas!$B$57:$D$57</c:f>
              <c:strCache>
                <c:ptCount val="3"/>
                <c:pt idx="0">
                  <c:v>Oportunidades de empleo cerca del aeropuerto</c:v>
                </c:pt>
                <c:pt idx="1">
                  <c:v>Aumento del valor de los predios</c:v>
                </c:pt>
                <c:pt idx="2">
                  <c:v>Beneficios para quienes ya viven en el sector</c:v>
                </c:pt>
              </c:strCache>
            </c:strRef>
          </c:cat>
          <c:val>
            <c:numRef>
              <c:f>Graficas!$B$62:$D$62</c:f>
              <c:numCache>
                <c:formatCode>General</c:formatCode>
                <c:ptCount val="3"/>
                <c:pt idx="0">
                  <c:v>4</c:v>
                </c:pt>
                <c:pt idx="1">
                  <c:v>4</c:v>
                </c:pt>
                <c:pt idx="2">
                  <c:v>3</c:v>
                </c:pt>
              </c:numCache>
            </c:numRef>
          </c:val>
          <c:extLst>
            <c:ext xmlns:c16="http://schemas.microsoft.com/office/drawing/2014/chart" uri="{C3380CC4-5D6E-409C-BE32-E72D297353CC}">
              <c16:uniqueId val="{00000004-FEE4-2342-81DB-476C4AA3CEBF}"/>
            </c:ext>
          </c:extLst>
        </c:ser>
        <c:ser>
          <c:idx val="5"/>
          <c:order val="5"/>
          <c:tx>
            <c:strRef>
              <c:f>Graficas!$A$63</c:f>
              <c:strCache>
                <c:ptCount val="1"/>
                <c:pt idx="0">
                  <c:v>No responde</c:v>
                </c:pt>
              </c:strCache>
            </c:strRef>
          </c:tx>
          <c:invertIfNegative val="0"/>
          <c:cat>
            <c:strRef>
              <c:f>Graficas!$B$57:$D$57</c:f>
              <c:strCache>
                <c:ptCount val="3"/>
                <c:pt idx="0">
                  <c:v>Oportunidades de empleo cerca del aeropuerto</c:v>
                </c:pt>
                <c:pt idx="1">
                  <c:v>Aumento del valor de los predios</c:v>
                </c:pt>
                <c:pt idx="2">
                  <c:v>Beneficios para quienes ya viven en el sector</c:v>
                </c:pt>
              </c:strCache>
            </c:strRef>
          </c:cat>
          <c:val>
            <c:numRef>
              <c:f>Graficas!$B$63:$D$63</c:f>
              <c:numCache>
                <c:formatCode>General</c:formatCode>
                <c:ptCount val="3"/>
                <c:pt idx="0">
                  <c:v>0</c:v>
                </c:pt>
                <c:pt idx="1">
                  <c:v>0</c:v>
                </c:pt>
                <c:pt idx="2">
                  <c:v>0</c:v>
                </c:pt>
              </c:numCache>
            </c:numRef>
          </c:val>
          <c:extLst>
            <c:ext xmlns:c16="http://schemas.microsoft.com/office/drawing/2014/chart" uri="{C3380CC4-5D6E-409C-BE32-E72D297353CC}">
              <c16:uniqueId val="{00000005-FEE4-2342-81DB-476C4AA3CEBF}"/>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9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legend>
      <c:legendPos val="r"/>
      <c:layout>
        <c:manualLayout>
          <c:xMode val="edge"/>
          <c:yMode val="edge"/>
          <c:x val="0.78021214761596758"/>
          <c:y val="0.38282138839787883"/>
          <c:w val="0.20621011986536306"/>
          <c:h val="0.47961192350956128"/>
        </c:manualLayout>
      </c:layout>
      <c:overlay val="0"/>
      <c:txPr>
        <a:bodyPr/>
        <a:lstStyle/>
        <a:p>
          <a:pPr>
            <a:defRPr sz="800">
              <a:latin typeface="Dosis" pitchFamily="2" charset="77"/>
            </a:defRPr>
          </a:pPr>
          <a:endParaRPr lang="es-CO"/>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Exposición al mercado del predio</a:t>
            </a:r>
          </a:p>
        </c:rich>
      </c:tx>
      <c:overlay val="0"/>
    </c:title>
    <c:autoTitleDeleted val="0"/>
    <c:plotArea>
      <c:layout/>
      <c:barChart>
        <c:barDir val="col"/>
        <c:grouping val="clustered"/>
        <c:varyColors val="0"/>
        <c:ser>
          <c:idx val="0"/>
          <c:order val="0"/>
          <c:tx>
            <c:strRef>
              <c:f>Graficas!$B$90</c:f>
              <c:strCache>
                <c:ptCount val="1"/>
                <c:pt idx="0">
                  <c:v>Frecuencia</c:v>
                </c:pt>
              </c:strCache>
            </c:strRef>
          </c:tx>
          <c:spPr>
            <a:ln>
              <a:prstDash val="solid"/>
            </a:ln>
          </c:spPr>
          <c:invertIfNegative val="0"/>
          <c:dPt>
            <c:idx val="0"/>
            <c:invertIfNegative val="0"/>
            <c:bubble3D val="0"/>
            <c:spPr>
              <a:solidFill>
                <a:schemeClr val="accent5"/>
              </a:solidFill>
              <a:ln>
                <a:prstDash val="solid"/>
              </a:ln>
            </c:spPr>
            <c:extLst>
              <c:ext xmlns:c16="http://schemas.microsoft.com/office/drawing/2014/chart" uri="{C3380CC4-5D6E-409C-BE32-E72D297353CC}">
                <c16:uniqueId val="{00000001-FD14-A642-885F-641B4B4CE88E}"/>
              </c:ext>
            </c:extLst>
          </c:dPt>
          <c:dPt>
            <c:idx val="1"/>
            <c:invertIfNegative val="0"/>
            <c:bubble3D val="0"/>
            <c:spPr>
              <a:solidFill>
                <a:srgbClr val="FFC000"/>
              </a:solidFill>
              <a:ln>
                <a:prstDash val="solid"/>
              </a:ln>
            </c:spPr>
            <c:extLst>
              <c:ext xmlns:c16="http://schemas.microsoft.com/office/drawing/2014/chart" uri="{C3380CC4-5D6E-409C-BE32-E72D297353CC}">
                <c16:uniqueId val="{00000002-FD14-A642-885F-641B4B4CE88E}"/>
              </c:ext>
            </c:extLst>
          </c:dPt>
          <c:dPt>
            <c:idx val="2"/>
            <c:invertIfNegative val="0"/>
            <c:bubble3D val="0"/>
            <c:spPr>
              <a:solidFill>
                <a:schemeClr val="accent6"/>
              </a:solidFill>
              <a:ln>
                <a:prstDash val="solid"/>
              </a:ln>
            </c:spPr>
            <c:extLst>
              <c:ext xmlns:c16="http://schemas.microsoft.com/office/drawing/2014/chart" uri="{C3380CC4-5D6E-409C-BE32-E72D297353CC}">
                <c16:uniqueId val="{00000003-FD14-A642-885F-641B4B4CE88E}"/>
              </c:ext>
            </c:extLst>
          </c:dPt>
          <c:dPt>
            <c:idx val="3"/>
            <c:invertIfNegative val="0"/>
            <c:bubble3D val="0"/>
            <c:spPr>
              <a:solidFill>
                <a:schemeClr val="accent4"/>
              </a:solidFill>
              <a:ln>
                <a:prstDash val="solid"/>
              </a:ln>
            </c:spPr>
            <c:extLst>
              <c:ext xmlns:c16="http://schemas.microsoft.com/office/drawing/2014/chart" uri="{C3380CC4-5D6E-409C-BE32-E72D297353CC}">
                <c16:uniqueId val="{00000004-FD14-A642-885F-641B4B4CE88E}"/>
              </c:ext>
            </c:extLst>
          </c:dPt>
          <c:dLbls>
            <c:spPr>
              <a:noFill/>
              <a:ln>
                <a:noFill/>
              </a:ln>
              <a:effectLst/>
            </c:spPr>
            <c:txPr>
              <a:bodyPr wrap="square" lIns="38100" tIns="19050" rIns="38100" bIns="19050" anchor="ctr">
                <a:spAutoFit/>
              </a:bodyPr>
              <a:lstStyle/>
              <a:p>
                <a:pPr>
                  <a:defRPr sz="800"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Graficas!$A$91:$A$95</c:f>
              <c:strCache>
                <c:ptCount val="5"/>
                <c:pt idx="0">
                  <c:v>Ha pensado vender (o el dueño)</c:v>
                </c:pt>
                <c:pt idx="1">
                  <c:v>Ha recibido ofertas de compra (o el dueño)</c:v>
                </c:pt>
                <c:pt idx="2">
                  <c:v>Ambas</c:v>
                </c:pt>
                <c:pt idx="3">
                  <c:v>Ninguna</c:v>
                </c:pt>
                <c:pt idx="4">
                  <c:v>No responde</c:v>
                </c:pt>
              </c:strCache>
            </c:strRef>
          </c:cat>
          <c:val>
            <c:numRef>
              <c:f>Graficas!$B$91:$B$95</c:f>
              <c:numCache>
                <c:formatCode>General</c:formatCode>
                <c:ptCount val="5"/>
                <c:pt idx="0">
                  <c:v>2</c:v>
                </c:pt>
                <c:pt idx="1">
                  <c:v>1</c:v>
                </c:pt>
                <c:pt idx="2">
                  <c:v>5</c:v>
                </c:pt>
                <c:pt idx="3">
                  <c:v>7</c:v>
                </c:pt>
                <c:pt idx="4">
                  <c:v>0</c:v>
                </c:pt>
              </c:numCache>
            </c:numRef>
          </c:val>
          <c:extLst>
            <c:ext xmlns:c16="http://schemas.microsoft.com/office/drawing/2014/chart" uri="{C3380CC4-5D6E-409C-BE32-E72D297353CC}">
              <c16:uniqueId val="{00000000-FD14-A642-885F-641B4B4CE88E}"/>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9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Alternativa preferida frente a la residencia actual</a:t>
            </a:r>
          </a:p>
        </c:rich>
      </c:tx>
      <c:overlay val="0"/>
    </c:title>
    <c:autoTitleDeleted val="0"/>
    <c:plotArea>
      <c:layout/>
      <c:barChart>
        <c:barDir val="col"/>
        <c:grouping val="clustered"/>
        <c:varyColors val="0"/>
        <c:ser>
          <c:idx val="0"/>
          <c:order val="0"/>
          <c:tx>
            <c:strRef>
              <c:f>Graficas!$B$124</c:f>
              <c:strCache>
                <c:ptCount val="1"/>
                <c:pt idx="0">
                  <c:v>Frecuencia</c:v>
                </c:pt>
              </c:strCache>
            </c:strRef>
          </c:tx>
          <c:spPr>
            <a:ln>
              <a:prstDash val="solid"/>
            </a:ln>
          </c:spPr>
          <c:invertIfNegative val="0"/>
          <c:dPt>
            <c:idx val="0"/>
            <c:invertIfNegative val="0"/>
            <c:bubble3D val="0"/>
            <c:spPr>
              <a:solidFill>
                <a:schemeClr val="accent4"/>
              </a:solidFill>
              <a:ln>
                <a:prstDash val="solid"/>
              </a:ln>
            </c:spPr>
            <c:extLst>
              <c:ext xmlns:c16="http://schemas.microsoft.com/office/drawing/2014/chart" uri="{C3380CC4-5D6E-409C-BE32-E72D297353CC}">
                <c16:uniqueId val="{00000001-2866-AF44-A6EB-D474B6BB714D}"/>
              </c:ext>
            </c:extLst>
          </c:dPt>
          <c:dPt>
            <c:idx val="1"/>
            <c:invertIfNegative val="0"/>
            <c:bubble3D val="0"/>
            <c:spPr>
              <a:solidFill>
                <a:schemeClr val="accent6"/>
              </a:solidFill>
              <a:ln>
                <a:prstDash val="solid"/>
              </a:ln>
            </c:spPr>
            <c:extLst>
              <c:ext xmlns:c16="http://schemas.microsoft.com/office/drawing/2014/chart" uri="{C3380CC4-5D6E-409C-BE32-E72D297353CC}">
                <c16:uniqueId val="{00000002-2866-AF44-A6EB-D474B6BB714D}"/>
              </c:ext>
            </c:extLst>
          </c:dPt>
          <c:dPt>
            <c:idx val="2"/>
            <c:invertIfNegative val="0"/>
            <c:bubble3D val="0"/>
            <c:spPr>
              <a:solidFill>
                <a:srgbClr val="FFC000"/>
              </a:solidFill>
              <a:ln>
                <a:prstDash val="solid"/>
              </a:ln>
            </c:spPr>
            <c:extLst>
              <c:ext xmlns:c16="http://schemas.microsoft.com/office/drawing/2014/chart" uri="{C3380CC4-5D6E-409C-BE32-E72D297353CC}">
                <c16:uniqueId val="{00000003-2866-AF44-A6EB-D474B6BB714D}"/>
              </c:ext>
            </c:extLst>
          </c:dPt>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Graficas!$A$125:$A$127</c:f>
              <c:strCache>
                <c:ptCount val="3"/>
                <c:pt idx="0">
                  <c:v>Quedarme en mi predio (no vender)</c:v>
                </c:pt>
                <c:pt idx="1">
                  <c:v>Vender y mudarme a otro lugar</c:v>
                </c:pt>
                <c:pt idx="2">
                  <c:v>No responde</c:v>
                </c:pt>
              </c:strCache>
            </c:strRef>
          </c:cat>
          <c:val>
            <c:numRef>
              <c:f>Graficas!$B$125:$B$127</c:f>
              <c:numCache>
                <c:formatCode>General</c:formatCode>
                <c:ptCount val="3"/>
                <c:pt idx="0">
                  <c:v>8</c:v>
                </c:pt>
                <c:pt idx="1">
                  <c:v>6</c:v>
                </c:pt>
                <c:pt idx="2">
                  <c:v>1</c:v>
                </c:pt>
              </c:numCache>
            </c:numRef>
          </c:val>
          <c:extLst>
            <c:ext xmlns:c16="http://schemas.microsoft.com/office/drawing/2014/chart" uri="{C3380CC4-5D6E-409C-BE32-E72D297353CC}">
              <c16:uniqueId val="{00000000-2866-AF44-A6EB-D474B6BB714D}"/>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Interés en asociarse con vecinos</a:t>
            </a:r>
          </a:p>
        </c:rich>
      </c:tx>
      <c:overlay val="0"/>
    </c:title>
    <c:autoTitleDeleted val="0"/>
    <c:plotArea>
      <c:layout/>
      <c:barChart>
        <c:barDir val="col"/>
        <c:grouping val="clustered"/>
        <c:varyColors val="0"/>
        <c:ser>
          <c:idx val="0"/>
          <c:order val="0"/>
          <c:tx>
            <c:strRef>
              <c:f>Graficas!$B$141</c:f>
              <c:strCache>
                <c:ptCount val="1"/>
                <c:pt idx="0">
                  <c:v>Frecuencia</c:v>
                </c:pt>
              </c:strCache>
            </c:strRef>
          </c:tx>
          <c:spPr>
            <a:ln>
              <a:prstDash val="solid"/>
            </a:ln>
          </c:spPr>
          <c:invertIfNegative val="0"/>
          <c:dPt>
            <c:idx val="0"/>
            <c:invertIfNegative val="0"/>
            <c:bubble3D val="0"/>
            <c:spPr>
              <a:solidFill>
                <a:schemeClr val="accent5"/>
              </a:solidFill>
              <a:ln>
                <a:prstDash val="solid"/>
              </a:ln>
            </c:spPr>
            <c:extLst>
              <c:ext xmlns:c16="http://schemas.microsoft.com/office/drawing/2014/chart" uri="{C3380CC4-5D6E-409C-BE32-E72D297353CC}">
                <c16:uniqueId val="{00000001-11FC-8448-B55B-C78E83CD6E46}"/>
              </c:ext>
            </c:extLst>
          </c:dPt>
          <c:dPt>
            <c:idx val="1"/>
            <c:invertIfNegative val="0"/>
            <c:bubble3D val="0"/>
            <c:spPr>
              <a:solidFill>
                <a:schemeClr val="accent4"/>
              </a:solidFill>
              <a:ln>
                <a:prstDash val="solid"/>
              </a:ln>
            </c:spPr>
            <c:extLst>
              <c:ext xmlns:c16="http://schemas.microsoft.com/office/drawing/2014/chart" uri="{C3380CC4-5D6E-409C-BE32-E72D297353CC}">
                <c16:uniqueId val="{00000002-11FC-8448-B55B-C78E83CD6E46}"/>
              </c:ext>
            </c:extLst>
          </c:dPt>
          <c:dPt>
            <c:idx val="2"/>
            <c:invertIfNegative val="0"/>
            <c:bubble3D val="0"/>
            <c:spPr>
              <a:solidFill>
                <a:srgbClr val="FFC000"/>
              </a:solidFill>
              <a:ln>
                <a:prstDash val="solid"/>
              </a:ln>
            </c:spPr>
            <c:extLst>
              <c:ext xmlns:c16="http://schemas.microsoft.com/office/drawing/2014/chart" uri="{C3380CC4-5D6E-409C-BE32-E72D297353CC}">
                <c16:uniqueId val="{00000003-11FC-8448-B55B-C78E83CD6E46}"/>
              </c:ext>
            </c:extLst>
          </c:dPt>
          <c:dPt>
            <c:idx val="3"/>
            <c:invertIfNegative val="0"/>
            <c:bubble3D val="0"/>
            <c:spPr>
              <a:solidFill>
                <a:schemeClr val="accent6"/>
              </a:solidFill>
              <a:ln>
                <a:prstDash val="solid"/>
              </a:ln>
            </c:spPr>
            <c:extLst>
              <c:ext xmlns:c16="http://schemas.microsoft.com/office/drawing/2014/chart" uri="{C3380CC4-5D6E-409C-BE32-E72D297353CC}">
                <c16:uniqueId val="{00000004-11FC-8448-B55B-C78E83CD6E46}"/>
              </c:ext>
            </c:extLst>
          </c:dPt>
          <c:dPt>
            <c:idx val="4"/>
            <c:invertIfNegative val="0"/>
            <c:bubble3D val="0"/>
            <c:spPr>
              <a:solidFill>
                <a:srgbClr val="C00000"/>
              </a:solidFill>
              <a:ln>
                <a:prstDash val="solid"/>
              </a:ln>
            </c:spPr>
            <c:extLst>
              <c:ext xmlns:c16="http://schemas.microsoft.com/office/drawing/2014/chart" uri="{C3380CC4-5D6E-409C-BE32-E72D297353CC}">
                <c16:uniqueId val="{00000005-11FC-8448-B55B-C78E83CD6E46}"/>
              </c:ext>
            </c:extLst>
          </c:dPt>
          <c:dLbls>
            <c:spPr>
              <a:noFill/>
              <a:ln>
                <a:noFill/>
              </a:ln>
              <a:effectLst/>
            </c:spPr>
            <c:txPr>
              <a:bodyPr wrap="square" lIns="38100" tIns="19050" rIns="38100" bIns="19050" anchor="ctr">
                <a:spAutoFit/>
              </a:bodyPr>
              <a:lstStyle/>
              <a:p>
                <a:pPr>
                  <a:defRPr sz="8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Graficas!$A$142:$A$146</c:f>
              <c:strCache>
                <c:ptCount val="5"/>
                <c:pt idx="0">
                  <c:v>Sí me interesa</c:v>
                </c:pt>
                <c:pt idx="1">
                  <c:v>Tal vez, si los beneficios están claros</c:v>
                </c:pt>
                <c:pt idx="2">
                  <c:v>No me interesa</c:v>
                </c:pt>
                <c:pt idx="3">
                  <c:v>Me es indiferente</c:v>
                </c:pt>
                <c:pt idx="4">
                  <c:v>No responde</c:v>
                </c:pt>
              </c:strCache>
            </c:strRef>
          </c:cat>
          <c:val>
            <c:numRef>
              <c:f>Graficas!$B$142:$B$146</c:f>
              <c:numCache>
                <c:formatCode>General</c:formatCode>
                <c:ptCount val="5"/>
                <c:pt idx="0">
                  <c:v>4</c:v>
                </c:pt>
                <c:pt idx="1">
                  <c:v>6</c:v>
                </c:pt>
                <c:pt idx="2">
                  <c:v>2</c:v>
                </c:pt>
                <c:pt idx="3">
                  <c:v>1</c:v>
                </c:pt>
                <c:pt idx="4">
                  <c:v>2</c:v>
                </c:pt>
              </c:numCache>
            </c:numRef>
          </c:val>
          <c:extLst>
            <c:ext xmlns:c16="http://schemas.microsoft.com/office/drawing/2014/chart" uri="{C3380CC4-5D6E-409C-BE32-E72D297353CC}">
              <c16:uniqueId val="{00000000-11FC-8448-B55B-C78E83CD6E46}"/>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9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Dosis" pitchFamily="2" charset="77"/>
              </a:defRPr>
            </a:pPr>
            <a:r>
              <a:rPr lang="es-CO" sz="1400">
                <a:latin typeface="Dosis" pitchFamily="2" charset="77"/>
              </a:rPr>
              <a:t>Aspectos más atractivos para asociarse</a:t>
            </a:r>
          </a:p>
        </c:rich>
      </c:tx>
      <c:overlay val="0"/>
    </c:title>
    <c:autoTitleDeleted val="0"/>
    <c:plotArea>
      <c:layout/>
      <c:barChart>
        <c:barDir val="col"/>
        <c:grouping val="clustered"/>
        <c:varyColors val="0"/>
        <c:ser>
          <c:idx val="0"/>
          <c:order val="0"/>
          <c:spPr>
            <a:ln>
              <a:prstDash val="solid"/>
            </a:ln>
          </c:spPr>
          <c:invertIfNegative val="0"/>
          <c:dPt>
            <c:idx val="0"/>
            <c:invertIfNegative val="0"/>
            <c:bubble3D val="0"/>
            <c:spPr>
              <a:solidFill>
                <a:schemeClr val="accent6"/>
              </a:solidFill>
              <a:ln>
                <a:prstDash val="solid"/>
              </a:ln>
            </c:spPr>
            <c:extLst>
              <c:ext xmlns:c16="http://schemas.microsoft.com/office/drawing/2014/chart" uri="{C3380CC4-5D6E-409C-BE32-E72D297353CC}">
                <c16:uniqueId val="{00000001-5C16-5740-AC6B-30D6467D1AC9}"/>
              </c:ext>
            </c:extLst>
          </c:dPt>
          <c:dPt>
            <c:idx val="1"/>
            <c:invertIfNegative val="0"/>
            <c:bubble3D val="0"/>
            <c:spPr>
              <a:solidFill>
                <a:srgbClr val="FFC000"/>
              </a:solidFill>
              <a:ln>
                <a:prstDash val="solid"/>
              </a:ln>
            </c:spPr>
            <c:extLst>
              <c:ext xmlns:c16="http://schemas.microsoft.com/office/drawing/2014/chart" uri="{C3380CC4-5D6E-409C-BE32-E72D297353CC}">
                <c16:uniqueId val="{00000002-5C16-5740-AC6B-30D6467D1AC9}"/>
              </c:ext>
            </c:extLst>
          </c:dPt>
          <c:dPt>
            <c:idx val="2"/>
            <c:invertIfNegative val="0"/>
            <c:bubble3D val="0"/>
            <c:spPr>
              <a:solidFill>
                <a:schemeClr val="accent4"/>
              </a:solidFill>
              <a:ln>
                <a:prstDash val="solid"/>
              </a:ln>
            </c:spPr>
            <c:extLst>
              <c:ext xmlns:c16="http://schemas.microsoft.com/office/drawing/2014/chart" uri="{C3380CC4-5D6E-409C-BE32-E72D297353CC}">
                <c16:uniqueId val="{00000003-5C16-5740-AC6B-30D6467D1AC9}"/>
              </c:ext>
            </c:extLst>
          </c:dPt>
          <c:dPt>
            <c:idx val="3"/>
            <c:invertIfNegative val="0"/>
            <c:bubble3D val="0"/>
            <c:spPr>
              <a:solidFill>
                <a:schemeClr val="accent5"/>
              </a:solidFill>
              <a:ln>
                <a:prstDash val="solid"/>
              </a:ln>
            </c:spPr>
            <c:extLst>
              <c:ext xmlns:c16="http://schemas.microsoft.com/office/drawing/2014/chart" uri="{C3380CC4-5D6E-409C-BE32-E72D297353CC}">
                <c16:uniqueId val="{00000004-5C16-5740-AC6B-30D6467D1AC9}"/>
              </c:ext>
            </c:extLst>
          </c:dPt>
          <c:dPt>
            <c:idx val="4"/>
            <c:invertIfNegative val="0"/>
            <c:bubble3D val="0"/>
            <c:spPr>
              <a:solidFill>
                <a:schemeClr val="accent2"/>
              </a:solidFill>
              <a:ln>
                <a:prstDash val="solid"/>
              </a:ln>
            </c:spPr>
            <c:extLst>
              <c:ext xmlns:c16="http://schemas.microsoft.com/office/drawing/2014/chart" uri="{C3380CC4-5D6E-409C-BE32-E72D297353CC}">
                <c16:uniqueId val="{00000005-5C16-5740-AC6B-30D6467D1AC9}"/>
              </c:ext>
            </c:extLst>
          </c:dPt>
          <c:dLbls>
            <c:spPr>
              <a:noFill/>
              <a:ln>
                <a:noFill/>
              </a:ln>
              <a:effectLst/>
            </c:spPr>
            <c:txPr>
              <a:bodyPr wrap="square" lIns="38100" tIns="19050" rIns="38100" bIns="19050" anchor="ctr">
                <a:spAutoFit/>
              </a:bodyPr>
              <a:lstStyle/>
              <a:p>
                <a:pPr>
                  <a:defRPr sz="700" b="1">
                    <a:latin typeface="Dosis" pitchFamily="2" charset="77"/>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Graficas!$A$159:$A$165</c:f>
              <c:strCache>
                <c:ptCount val="7"/>
                <c:pt idx="0">
                  <c:v>Info clara sobre beneficios </c:v>
                </c:pt>
                <c:pt idx="1">
                  <c:v>Mayor ganancia por venta conjunta</c:v>
                </c:pt>
                <c:pt idx="2">
                  <c:v>Ingresos periódicos y constantes</c:v>
                </c:pt>
                <c:pt idx="3">
                  <c:v>Pago único por la propiedad </c:v>
                </c:pt>
                <c:pt idx="4">
                  <c:v>Opciones de reubicación seguras</c:v>
                </c:pt>
                <c:pt idx="5">
                  <c:v>Otra opción</c:v>
                </c:pt>
                <c:pt idx="6">
                  <c:v>No responde</c:v>
                </c:pt>
              </c:strCache>
            </c:strRef>
          </c:cat>
          <c:val>
            <c:numRef>
              <c:f>Graficas!$B$159:$B$165</c:f>
              <c:numCache>
                <c:formatCode>General</c:formatCode>
                <c:ptCount val="7"/>
                <c:pt idx="0">
                  <c:v>11</c:v>
                </c:pt>
                <c:pt idx="1">
                  <c:v>7</c:v>
                </c:pt>
                <c:pt idx="2">
                  <c:v>7</c:v>
                </c:pt>
                <c:pt idx="3">
                  <c:v>6</c:v>
                </c:pt>
                <c:pt idx="4">
                  <c:v>4</c:v>
                </c:pt>
                <c:pt idx="5">
                  <c:v>0</c:v>
                </c:pt>
                <c:pt idx="6">
                  <c:v>0</c:v>
                </c:pt>
              </c:numCache>
            </c:numRef>
          </c:val>
          <c:extLst>
            <c:ext xmlns:c16="http://schemas.microsoft.com/office/drawing/2014/chart" uri="{C3380CC4-5D6E-409C-BE32-E72D297353CC}">
              <c16:uniqueId val="{00000000-5C16-5740-AC6B-30D6467D1AC9}"/>
            </c:ext>
          </c:extLst>
        </c:ser>
        <c:dLbls>
          <c:showLegendKey val="0"/>
          <c:showVal val="0"/>
          <c:showCatName val="0"/>
          <c:showSerName val="0"/>
          <c:showPercent val="0"/>
          <c:showBubbleSize val="0"/>
        </c:dLbls>
        <c:gapWidth val="150"/>
        <c:axId val="10"/>
        <c:axId val="100"/>
      </c:barChart>
      <c:catAx>
        <c:axId val="10"/>
        <c:scaling>
          <c:orientation val="minMax"/>
        </c:scaling>
        <c:delete val="0"/>
        <c:axPos val="b"/>
        <c:numFmt formatCode="General" sourceLinked="1"/>
        <c:majorTickMark val="none"/>
        <c:minorTickMark val="none"/>
        <c:tickLblPos val="nextTo"/>
        <c:txPr>
          <a:bodyPr/>
          <a:lstStyle/>
          <a:p>
            <a:pPr>
              <a:defRPr sz="900">
                <a:latin typeface="Dosis" pitchFamily="2" charset="77"/>
              </a:defRPr>
            </a:pPr>
            <a:endParaRPr lang="es-CO"/>
          </a:p>
        </c:txPr>
        <c:crossAx val="100"/>
        <c:crosses val="autoZero"/>
        <c:auto val="0"/>
        <c:lblAlgn val="ctr"/>
        <c:lblOffset val="100"/>
        <c:noMultiLvlLbl val="0"/>
      </c:catAx>
      <c:valAx>
        <c:axId val="100"/>
        <c:scaling>
          <c:orientation val="minMax"/>
        </c:scaling>
        <c:delete val="0"/>
        <c:axPos val="l"/>
        <c:majorGridlines/>
        <c:numFmt formatCode="General" sourceLinked="1"/>
        <c:majorTickMark val="none"/>
        <c:minorTickMark val="none"/>
        <c:tickLblPos val="nextTo"/>
        <c:txPr>
          <a:bodyPr/>
          <a:lstStyle/>
          <a:p>
            <a:pPr>
              <a:defRPr>
                <a:latin typeface="Dosis" pitchFamily="2" charset="77"/>
              </a:defRPr>
            </a:pPr>
            <a:endParaRPr lang="es-CO"/>
          </a:p>
        </c:txPr>
        <c:crossAx val="10"/>
        <c:crosses val="autoZero"/>
        <c:crossBetween val="between"/>
      </c:valAx>
    </c:plotArea>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B3CE799D4DA3C04CB9BCB8CD1DF94704" ma:contentTypeVersion="11" ma:contentTypeDescription="Crear nuevo documento." ma:contentTypeScope="" ma:versionID="ecfb1310a4d675760852de24a01af554">
  <xsd:schema xmlns:xsd="http://www.w3.org/2001/XMLSchema" xmlns:xs="http://www.w3.org/2001/XMLSchema" xmlns:p="http://schemas.microsoft.com/office/2006/metadata/properties" xmlns:ns2="0d03cd94-47b9-4e94-9f80-c0f7fd5f8964" xmlns:ns3="ba0cf52e-aa60-4300-878b-ad5cd672df3d" targetNamespace="http://schemas.microsoft.com/office/2006/metadata/properties" ma:root="true" ma:fieldsID="5019fa12d5c22ff2994e0b698aaa4f9d" ns2:_="" ns3:_="">
    <xsd:import namespace="0d03cd94-47b9-4e94-9f80-c0f7fd5f8964"/>
    <xsd:import namespace="ba0cf52e-aa60-4300-878b-ad5cd672df3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03cd94-47b9-4e94-9f80-c0f7fd5f89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6956917-4396-4280-92a8-38b8e33690a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0cf52e-aa60-4300-878b-ad5cd672df3d"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dca93fa9-bf8e-4db1-b1bb-a51ac4fffe69}" ma:internalName="TaxCatchAll" ma:showField="CatchAllData" ma:web="ba0cf52e-aa60-4300-878b-ad5cd672df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d03cd94-47b9-4e94-9f80-c0f7fd5f8964">
      <Terms xmlns="http://schemas.microsoft.com/office/infopath/2007/PartnerControls"/>
    </lcf76f155ced4ddcb4097134ff3c332f>
    <TaxCatchAll xmlns="ba0cf52e-aa60-4300-878b-ad5cd672df3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70402E-9EC1-4C4F-A6E8-EE1890CA7C4E}">
  <ds:schemaRefs>
    <ds:schemaRef ds:uri="http://schemas.microsoft.com/sharepoint/v3/contenttype/forms"/>
  </ds:schemaRefs>
</ds:datastoreItem>
</file>

<file path=customXml/itemProps2.xml><?xml version="1.0" encoding="utf-8"?>
<ds:datastoreItem xmlns:ds="http://schemas.openxmlformats.org/officeDocument/2006/customXml" ds:itemID="{F505171D-F82E-4126-B431-F7B8C17E9147}"/>
</file>

<file path=customXml/itemProps3.xml><?xml version="1.0" encoding="utf-8"?>
<ds:datastoreItem xmlns:ds="http://schemas.openxmlformats.org/officeDocument/2006/customXml" ds:itemID="{7C6B9E03-F06F-4C0B-86EF-14600F6001E9}">
  <ds:schemaRefs>
    <ds:schemaRef ds:uri="http://schemas.microsoft.com/office/2006/metadata/properties"/>
    <ds:schemaRef ds:uri="http://schemas.microsoft.com/office/infopath/2007/PartnerControls"/>
    <ds:schemaRef ds:uri="865c7835-f8a2-4f8f-a3cd-c8dc36945e5f"/>
    <ds:schemaRef ds:uri="191426f5-bd0a-4cb5-bc7f-dc7e8b1c817e"/>
  </ds:schemaRefs>
</ds:datastoreItem>
</file>

<file path=customXml/itemProps4.xml><?xml version="1.0" encoding="utf-8"?>
<ds:datastoreItem xmlns:ds="http://schemas.openxmlformats.org/officeDocument/2006/customXml" ds:itemID="{A53BD0A1-867E-F14C-ACB9-87AD3EAF9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17</Pages>
  <Words>5144</Words>
  <Characters>28296</Characters>
  <Application>Microsoft Office Word</Application>
  <DocSecurity>0</DocSecurity>
  <Lines>235</Lines>
  <Paragraphs>66</Paragraphs>
  <ScaleCrop>false</ScaleCrop>
  <Company/>
  <LinksUpToDate>false</LinksUpToDate>
  <CharactersWithSpaces>33374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Paula Campos</dc:creator>
  <cp:keywords/>
  <dc:description/>
  <cp:lastModifiedBy>Paula Campos</cp:lastModifiedBy>
  <cp:revision>86</cp:revision>
  <dcterms:created xsi:type="dcterms:W3CDTF">2025-12-23T19:56:00Z</dcterms:created>
  <dcterms:modified xsi:type="dcterms:W3CDTF">2025-12-23T23:33:00Z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0x010100B3CE799D4DA3C04CB9BCB8CD1DF94704</vt:lpwstr>
  </property>
  <property fmtid="{D5CDD505-2E9C-101B-9397-08002B2CF9AE}" pid="3" name="MediaServiceImageTags">
    <vt:lpwstr/>
  </property>
</Properties>
</file>